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4A48A7" w14:textId="77777777" w:rsidR="00F96F2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right"/>
        <w:rPr>
          <w:color w:val="000000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</w:rPr>
        <w:t>Załącznik nr 11.2</w:t>
      </w:r>
    </w:p>
    <w:p w14:paraId="6CD21A90" w14:textId="77777777" w:rsidR="00F96F2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200"/>
        <w:jc w:val="center"/>
        <w:rPr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 xml:space="preserve">Zadanie nr 2 – </w:t>
      </w:r>
      <w:r>
        <w:rPr>
          <w:b/>
          <w:bCs/>
          <w:color w:val="000000"/>
        </w:rPr>
        <w:t>System Robotycznej Chirurgii Urologicznej</w:t>
      </w:r>
    </w:p>
    <w:p w14:paraId="5351F5BB" w14:textId="77777777" w:rsidR="00F96F2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200"/>
        <w:jc w:val="center"/>
        <w:rPr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>„Zakup i dostawa wyposażenia medycznego na potrzeby: Oddziału Urologii Ogólnej i Onkologicznej, bloku operacyjnego oraz jednostek współpracujących”</w:t>
      </w:r>
    </w:p>
    <w:p w14:paraId="0A4CE4AC" w14:textId="77777777" w:rsidR="00F96F2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200"/>
        <w:jc w:val="center"/>
        <w:rPr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OPIS PRZEDMIOTU ZAMÓWIENIA</w:t>
      </w:r>
    </w:p>
    <w:p w14:paraId="42ED56E0" w14:textId="77777777" w:rsidR="00F96F2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>do Projekt: "Doposażenie Oddziału Urologii Ogólnej i Onkologicznej, bloku operacyjnego oraz jednostek współpracujących w nowoczesny sprzęt medyczny przeznaczony do kompleksowej diagnostyki i leczenia chorób onkologicznych" w Samodzielnym Publicznym Zakładzie Opieki Zdrowotnej w Kolbuszowej.</w:t>
      </w:r>
    </w:p>
    <w:p w14:paraId="262AB8A7" w14:textId="77777777" w:rsidR="00F96F2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40" w:after="200"/>
        <w:jc w:val="center"/>
        <w:rPr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Specyfikacja przedmiotowa</w:t>
      </w:r>
    </w:p>
    <w:p w14:paraId="4FFA9A03" w14:textId="77777777" w:rsidR="00F96F2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40" w:after="200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>W ramach zadania nr. 2 Zamawiający wymaga dostawy oferowanych rozwiązań wraz instalacją i uruchomieniem oraz niezbędną adaptacją pomieszczeń.</w:t>
      </w:r>
    </w:p>
    <w:p w14:paraId="5BF33988" w14:textId="77777777" w:rsidR="00F96F2F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</w:pPr>
      <w:bookmarkStart w:id="0" w:name="_heading=h.mv4eu85c8cu3" w:colFirst="0" w:colLast="0"/>
      <w:bookmarkEnd w:id="0"/>
      <w:r>
        <w:rPr>
          <w:b/>
          <w:bCs/>
          <w:color w:val="000000"/>
        </w:rPr>
        <w:t>System Robotycznej Chirurgii Urologicznej</w:t>
      </w:r>
      <w:r>
        <w:rPr>
          <w:rFonts w:ascii="Times New Roman" w:eastAsia="Times New Roman" w:hAnsi="Times New Roman" w:cs="Times New Roman"/>
          <w:b/>
          <w:bCs/>
          <w:color w:val="000000"/>
        </w:rPr>
        <w:t xml:space="preserve"> - 1 kpl. </w:t>
      </w:r>
      <w:r>
        <w:rPr>
          <w:rFonts w:ascii="Times New Roman" w:eastAsia="Times New Roman" w:hAnsi="Times New Roman" w:cs="Times New Roman"/>
          <w:color w:val="000000"/>
        </w:rPr>
        <w:t>wraz z niezbędnymi pracami instalacyjnymi koniecznymi do podłączenie do infrastruktury Szpitala.</w:t>
      </w:r>
    </w:p>
    <w:p w14:paraId="1CF30B72" w14:textId="77777777" w:rsidR="00F96F2F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</w:pPr>
      <w:bookmarkStart w:id="1" w:name="_heading=h.hdsrr65367u1" w:colFirst="0" w:colLast="0"/>
      <w:bookmarkEnd w:id="1"/>
      <w:r>
        <w:rPr>
          <w:rFonts w:ascii="Times New Roman" w:eastAsia="Times New Roman" w:hAnsi="Times New Roman" w:cs="Times New Roman"/>
          <w:b/>
          <w:bCs/>
          <w:color w:val="000000"/>
        </w:rPr>
        <w:t>Uniwersalny stół operacyjny do chirurgii precyzyjnej  z wyposażeniem. - 1 kpl</w:t>
      </w:r>
    </w:p>
    <w:p w14:paraId="330AE39D" w14:textId="77777777" w:rsidR="00F96F2F" w:rsidRDefault="00F96F2F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43CAD7A6" w14:textId="77777777" w:rsidR="00F96F2F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240"/>
      </w:pPr>
      <w:r>
        <w:rPr>
          <w:b/>
          <w:bCs/>
          <w:color w:val="000000"/>
          <w:sz w:val="24"/>
          <w:szCs w:val="24"/>
        </w:rPr>
        <w:t>System Robotycznej Chirurgii Urologicznej - .</w:t>
      </w:r>
    </w:p>
    <w:tbl>
      <w:tblPr>
        <w:tblStyle w:val="a"/>
        <w:tblW w:w="1034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572"/>
        <w:gridCol w:w="2536"/>
        <w:gridCol w:w="7233"/>
      </w:tblGrid>
      <w:tr w:rsidR="00F96F2F" w14:paraId="6DE7268A" w14:textId="77777777">
        <w:trPr>
          <w:trHeight w:val="340"/>
        </w:trPr>
        <w:tc>
          <w:tcPr>
            <w:tcW w:w="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57BFDE6F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both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L.p.</w:t>
            </w:r>
          </w:p>
        </w:tc>
        <w:tc>
          <w:tcPr>
            <w:tcW w:w="2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76C52E13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Dane podstawowe</w:t>
            </w:r>
          </w:p>
        </w:tc>
        <w:tc>
          <w:tcPr>
            <w:tcW w:w="7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0585825F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Wpisać</w:t>
            </w:r>
          </w:p>
        </w:tc>
      </w:tr>
      <w:tr w:rsidR="00F96F2F" w14:paraId="212BAE47" w14:textId="77777777">
        <w:trPr>
          <w:trHeight w:val="340"/>
        </w:trPr>
        <w:tc>
          <w:tcPr>
            <w:tcW w:w="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57BE6688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1.</w:t>
            </w:r>
          </w:p>
        </w:tc>
        <w:tc>
          <w:tcPr>
            <w:tcW w:w="2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3E70468C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Producent</w:t>
            </w:r>
          </w:p>
        </w:tc>
        <w:tc>
          <w:tcPr>
            <w:tcW w:w="7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744F4C36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F96F2F" w14:paraId="7669AA0A" w14:textId="77777777">
        <w:trPr>
          <w:trHeight w:val="449"/>
        </w:trPr>
        <w:tc>
          <w:tcPr>
            <w:tcW w:w="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23C99A9C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2.</w:t>
            </w:r>
          </w:p>
        </w:tc>
        <w:tc>
          <w:tcPr>
            <w:tcW w:w="2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083D0AB9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Kraj produkcji</w:t>
            </w:r>
          </w:p>
        </w:tc>
        <w:tc>
          <w:tcPr>
            <w:tcW w:w="7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28D10997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F96F2F" w14:paraId="4ABDB545" w14:textId="77777777">
        <w:trPr>
          <w:trHeight w:val="444"/>
        </w:trPr>
        <w:tc>
          <w:tcPr>
            <w:tcW w:w="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4EAD26B6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3.</w:t>
            </w:r>
          </w:p>
        </w:tc>
        <w:tc>
          <w:tcPr>
            <w:tcW w:w="2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63B2EF4E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Nazwa, model, typ</w:t>
            </w:r>
          </w:p>
        </w:tc>
        <w:tc>
          <w:tcPr>
            <w:tcW w:w="7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62935F59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6ADFED08" w14:textId="77777777" w:rsidR="00F96F2F" w:rsidRDefault="00F96F2F">
      <w:pPr>
        <w:pBdr>
          <w:top w:val="nil"/>
          <w:left w:val="nil"/>
          <w:bottom w:val="nil"/>
          <w:right w:val="nil"/>
          <w:between w:val="nil"/>
        </w:pBdr>
        <w:spacing w:after="240"/>
        <w:ind w:left="720"/>
        <w:rPr>
          <w:rFonts w:ascii="Times New Roman" w:eastAsia="Times New Roman" w:hAnsi="Times New Roman" w:cs="Times New Roman"/>
          <w:b/>
          <w:bCs/>
          <w:color w:val="000000"/>
        </w:rPr>
      </w:pPr>
    </w:p>
    <w:tbl>
      <w:tblPr>
        <w:tblStyle w:val="a0"/>
        <w:tblW w:w="10092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440"/>
        <w:gridCol w:w="4509"/>
        <w:gridCol w:w="1760"/>
        <w:gridCol w:w="1832"/>
        <w:gridCol w:w="1551"/>
      </w:tblGrid>
      <w:tr w:rsidR="00F96F2F" w14:paraId="0051F4FC" w14:textId="77777777">
        <w:trPr>
          <w:cantSplit/>
          <w:trHeight w:val="146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954B5C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  <w:p w14:paraId="1978E137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Lp.</w:t>
            </w: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D64B7D2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Opis parametrów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ECE003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Wymagane wartości graniczne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5A9C12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Punktacja</w:t>
            </w: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22353B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Parametry, wartości ,  dane techniczne</w:t>
            </w:r>
          </w:p>
          <w:p w14:paraId="0F60F858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(wypełnia Wykonawca</w:t>
            </w:r>
          </w:p>
          <w:p w14:paraId="16240EA1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poprzez wpisanie słowa „TAK”/„ NIE”  lub podaje wymaganą informację)</w:t>
            </w:r>
          </w:p>
        </w:tc>
      </w:tr>
      <w:tr w:rsidR="00F96F2F" w14:paraId="25F6E19F" w14:textId="77777777">
        <w:trPr>
          <w:cantSplit/>
          <w:trHeight w:val="288"/>
        </w:trPr>
        <w:tc>
          <w:tcPr>
            <w:tcW w:w="85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300764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Parametry ogólne</w:t>
            </w: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9868BD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F96F2F" w14:paraId="6E7775C9" w14:textId="77777777">
        <w:trPr>
          <w:cantSplit/>
          <w:trHeight w:val="1331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3A44C4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56CC8ED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Zakres zastosowań robota chirurgicznego to minimum:</w:t>
            </w:r>
          </w:p>
          <w:p w14:paraId="49650F01" w14:textId="77777777" w:rsidR="00F96F2F" w:rsidRDefault="00000000">
            <w:pPr>
              <w:widowControl w:val="0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urologia</w:t>
            </w:r>
          </w:p>
          <w:p w14:paraId="44FD6A36" w14:textId="77777777" w:rsidR="00F96F2F" w:rsidRDefault="00000000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ginekologia</w:t>
            </w:r>
          </w:p>
          <w:p w14:paraId="48E07315" w14:textId="77777777" w:rsidR="00F96F2F" w:rsidRDefault="00000000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chirurgia ogólna i kolorektalna</w:t>
            </w:r>
          </w:p>
          <w:p w14:paraId="65ABC1D2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Należy opisać i wskazać certyfikację/walidację w dokumentach producenta.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37834A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B453DF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026F5F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5AA204F7" w14:textId="77777777">
        <w:trPr>
          <w:cantSplit/>
          <w:trHeight w:val="1686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EE9DF9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2F4056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Zestaw robota chirurgicznego składający się z następujących elementów:</w:t>
            </w:r>
          </w:p>
          <w:p w14:paraId="67C3E5DA" w14:textId="77777777" w:rsidR="00F96F2F" w:rsidRDefault="00000000">
            <w:pPr>
              <w:widowControl w:val="0"/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konsola chirurgiczna – 1szt.,</w:t>
            </w:r>
          </w:p>
          <w:p w14:paraId="6155C864" w14:textId="77777777" w:rsidR="00F96F2F" w:rsidRDefault="00000000">
            <w:pPr>
              <w:widowControl w:val="0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robot wyposażony w cztery ramiona umieszczone na jednym wózku lub każde z ramion umieszczone na osobnym wózku – 1 kpl.,</w:t>
            </w:r>
          </w:p>
          <w:p w14:paraId="32F58942" w14:textId="77777777" w:rsidR="00F96F2F" w:rsidRDefault="00000000">
            <w:pPr>
              <w:widowControl w:val="0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system wizyjny z zintegrowanym na poziomie oprogramowania  robota chirurgicznego- generatorem– 1 szt.,</w:t>
            </w:r>
          </w:p>
          <w:p w14:paraId="109F7628" w14:textId="77777777" w:rsidR="00F96F2F" w:rsidRDefault="00000000">
            <w:pPr>
              <w:widowControl w:val="0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wyposażenie zestawu robota chirurgicznego.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849374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19A874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601F6A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496E9385" w14:textId="77777777">
        <w:trPr>
          <w:cantSplit/>
          <w:trHeight w:val="409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4A5614F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92C48E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Zestaw robota chirurgicznego - rok produkcji nie wcześniej niż 2025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8B3F8C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11AE09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4E5063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7C998813" w14:textId="77777777">
        <w:trPr>
          <w:cantSplit/>
          <w:trHeight w:val="561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1E3FF1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87C63C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Konsola chirurgiczna – 1 szt.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CCC2C9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5994CE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AE5903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1AB7FA71" w14:textId="77777777">
        <w:trPr>
          <w:cantSplit/>
          <w:trHeight w:val="564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90645C0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0AEB289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Konsola chirurgiczna mobilna na podstawie jezdnej, z blokadą.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041F29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2C6F97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C1CBE5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07A44AAB" w14:textId="77777777">
        <w:trPr>
          <w:cantSplit/>
          <w:trHeight w:val="1116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0F8A68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3D8AF4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Transmisja ruchów rąk operatora do ramion robotycznych z filtracją tremoru rąk operatora, z możliwością skalowania ruchu narzędzi oraz funkcją redukcji drgań w celu zminimalizowania naturalnego drżenia rąk i przypadkowych ruchów ręki operatora. Ilość trybów skalowania, co najmniej 3.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087DF1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D47572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AA69A9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3975DBD4" w14:textId="77777777">
        <w:trPr>
          <w:cantSplit/>
          <w:trHeight w:val="412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D14688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8BA307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bookmarkStart w:id="2" w:name="_heading=h.nbmtedwxyuww" w:colFirst="0" w:colLast="0"/>
            <w:bookmarkEnd w:id="2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Możliwość sterowania kamerą endoskopową 3D w każdym z ramion robotycznych „on any arm” robota chirurgicznego wyposażonego w cztery ramiona umieszczone na jednym wózku, z wykorzystaniem zadokowanych do pacjenta kaniul, wszystkie zadokowane 4 kaniule tej samej średnicy bez użycia redukcji średnicy kaniul</w:t>
            </w:r>
          </w:p>
          <w:p w14:paraId="26FA124B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629C9D69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Lub</w:t>
            </w:r>
          </w:p>
          <w:p w14:paraId="2D4FC101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dla robota o konstrukcji ramion umieszczonych na osobnych wózkach :</w:t>
            </w:r>
          </w:p>
          <w:p w14:paraId="67AC0081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możliwość dowolnego repozycjonowania kolumny z kamerą - w trakcie trwania zabiegu operacyjnego, bez konieczności zmiany położenia kaniuli endoskopowej w ciele pacjenta lub dołożenia kolejnej kaniuli endoskopowej w innym polu operacyjnym pacjenta i zmiany ułożenia, przesunięcia pozostałych kolumn z ramionami robotycznymi wokół stołu pacjenta.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9C3718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FA7295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0A6FF4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16EAEC92" w14:textId="77777777">
        <w:trPr>
          <w:cantSplit/>
          <w:trHeight w:val="418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7F14FA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54A72B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Umożliwia sterowanie funkcjonalnościami co najmniej w zakresie:</w:t>
            </w:r>
          </w:p>
          <w:p w14:paraId="199DE947" w14:textId="77777777" w:rsidR="00F96F2F" w:rsidRDefault="00000000">
            <w:pPr>
              <w:widowControl w:val="0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wysprzęglania, włączania i wyłączania znacznika ICG za pomocą manetek sterujących-  zintegrowana na poziomie oprogramowania  robota chirurgicznego,</w:t>
            </w:r>
          </w:p>
          <w:p w14:paraId="5A0AF54D" w14:textId="77777777" w:rsidR="00F96F2F" w:rsidRDefault="00000000">
            <w:pPr>
              <w:widowControl w:val="0"/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włączania i wyłączania sygnału pochodzącego ze źródeł zewnętrznych  i wyświetlanych na konsoli chirurgicznej – uruchamianie za pomocą manetek sterujących i / lub przełączników nożnych,  </w:t>
            </w:r>
          </w:p>
          <w:p w14:paraId="717160C3" w14:textId="77777777" w:rsidR="00F96F2F" w:rsidRDefault="00000000">
            <w:pPr>
              <w:widowControl w:val="0"/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haptycznej zmiany powiększenia cyfrowego obrazu za pomocą manetek sterujących i / lub przełączników nożnych,</w:t>
            </w:r>
          </w:p>
          <w:p w14:paraId="259A1838" w14:textId="77777777" w:rsidR="00F96F2F" w:rsidRDefault="00000000">
            <w:pPr>
              <w:widowControl w:val="0"/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możliwości wykonania pełnego obrotu nadgarstkowego we wskazanym kierunku prawo lub lewo do osiągnięcia pełnego zakresu obrotu kątowego w osi wzdłużnej narzędzia – za pomocą jednego płynnego ruchu dłoni operatora bez konieczności używania dodatkowych przycisków lub sprzęgła,</w:t>
            </w:r>
          </w:p>
          <w:p w14:paraId="239FEE18" w14:textId="77777777" w:rsidR="00F96F2F" w:rsidRDefault="00000000">
            <w:pPr>
              <w:widowControl w:val="0"/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sterowania ustawieniami systemu elektrochirurgii z poziomu konsoli chirurgicznej (co najmniej w zakresie: mocy, trybu i/lub efektu) z możliwością wywołania presetów systemu elektrochirurgii z poziomu konsoli chirurgicznej,</w:t>
            </w:r>
          </w:p>
          <w:p w14:paraId="497DC8B7" w14:textId="77777777" w:rsidR="00F96F2F" w:rsidRDefault="00000000">
            <w:pPr>
              <w:widowControl w:val="0"/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sterowania ustawieniami elektrochirurgii przez oprogramowanie  robota chirurgicznego,</w:t>
            </w:r>
          </w:p>
          <w:p w14:paraId="7989DE95" w14:textId="77777777" w:rsidR="00F96F2F" w:rsidRDefault="00000000">
            <w:pPr>
              <w:widowControl w:val="0"/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automatyczne przełączenie przez operatora konsoli chirurgicznej- kąta prezentacji obrazu z endoskopu 30 stopni w dół i 30 stopni w górę.</w:t>
            </w:r>
          </w:p>
          <w:p w14:paraId="392CEC9F" w14:textId="77777777" w:rsidR="00F96F2F" w:rsidRDefault="00000000">
            <w:pPr>
              <w:widowControl w:val="0"/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Możliwość zapamiętania przez konsolę chirurgiczną i wywołania z poziomu konsoli chirurgicznej co najmniej 3 typów ustawień (presetów) dla narzędzi elektrochirurgicznych.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7E5839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0B28A0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223228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00AB18C3" w14:textId="77777777">
        <w:trPr>
          <w:cantSplit/>
          <w:trHeight w:val="559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824DD1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AF02E49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line="360" w:lineRule="auto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Wykaz istotnych elementów składowych konsoli:</w:t>
            </w:r>
          </w:p>
          <w:p w14:paraId="0B2C5474" w14:textId="77777777" w:rsidR="00F96F2F" w:rsidRDefault="00000000">
            <w:pPr>
              <w:widowControl w:val="0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manetki sterujące (lewa i prawa),</w:t>
            </w:r>
          </w:p>
          <w:p w14:paraId="3EB0A6E1" w14:textId="77777777" w:rsidR="00F96F2F" w:rsidRDefault="00000000">
            <w:pPr>
              <w:widowControl w:val="0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pulpit sterujący (lewy i prawy),</w:t>
            </w:r>
          </w:p>
          <w:p w14:paraId="19FEDD2F" w14:textId="77777777" w:rsidR="00F96F2F" w:rsidRDefault="00000000">
            <w:pPr>
              <w:widowControl w:val="0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przeglądarka stereoskopowa lub technologia wykorzystująca monitor i okulary 3D,</w:t>
            </w:r>
          </w:p>
          <w:p w14:paraId="61780693" w14:textId="77777777" w:rsidR="00F96F2F" w:rsidRDefault="00000000">
            <w:pPr>
              <w:widowControl w:val="0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ekran dotykowy lub zestaw przycisków ręcznych do obsługi konsoli chirurgicznej i zarządzania wizualizacją,</w:t>
            </w:r>
          </w:p>
          <w:p w14:paraId="54A11F93" w14:textId="77777777" w:rsidR="00F96F2F" w:rsidRDefault="00000000">
            <w:pPr>
              <w:widowControl w:val="0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panel przełączników nożnych lub zestaw przełączników ręcznych do uruchomiania elektrokoagulacji mono i bipolarnej, zarządzania endoskopem i wysprzęglania.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453301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C276B8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514404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599381D0" w14:textId="77777777">
        <w:trPr>
          <w:cantSplit/>
          <w:trHeight w:val="1043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E19302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D186F8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Dostęp z konsoli chirurgicznej do :</w:t>
            </w:r>
          </w:p>
          <w:p w14:paraId="7733DC30" w14:textId="77777777" w:rsidR="00F96F2F" w:rsidRDefault="00000000">
            <w:pPr>
              <w:widowControl w:val="0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59" w:hanging="357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wyłącznika awaryjnego,</w:t>
            </w:r>
          </w:p>
          <w:p w14:paraId="1B9326A2" w14:textId="77777777" w:rsidR="00F96F2F" w:rsidRDefault="00000000">
            <w:pPr>
              <w:widowControl w:val="0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59" w:hanging="357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regulacji parametrów ergonomicznych konsoli chirurgicznej, zapewniających operatorom o różnej budowie ciała komfort pracy podczas zabiegów.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3DDECE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996964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6CF22C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4C6F0AA0" w14:textId="77777777">
        <w:trPr>
          <w:cantSplit/>
          <w:trHeight w:val="416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E7DDC2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33231B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Panel przełączników ręcznych lub nożnych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u w:val="single"/>
              </w:rPr>
              <w:t>umożliwiający co najmniej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:</w:t>
            </w:r>
          </w:p>
          <w:p w14:paraId="50D6B586" w14:textId="77777777" w:rsidR="00F96F2F" w:rsidRDefault="00000000">
            <w:pPr>
              <w:widowControl w:val="0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23" w:hanging="323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sterowanie kamerą,</w:t>
            </w:r>
          </w:p>
          <w:p w14:paraId="57FEB31D" w14:textId="77777777" w:rsidR="00F96F2F" w:rsidRDefault="00000000">
            <w:pPr>
              <w:widowControl w:val="0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23" w:hanging="323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przełączanie ramion robotycznych,</w:t>
            </w:r>
          </w:p>
          <w:p w14:paraId="612A4CC7" w14:textId="77777777" w:rsidR="00F96F2F" w:rsidRDefault="00000000">
            <w:pPr>
              <w:widowControl w:val="0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23" w:hanging="323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włączanie i wyłączanie głównych sterowników ramion i narzędzi chirurgicznych (sprzęgło),</w:t>
            </w:r>
          </w:p>
          <w:p w14:paraId="2ED0680E" w14:textId="77777777" w:rsidR="00F96F2F" w:rsidRDefault="00000000">
            <w:pPr>
              <w:widowControl w:val="0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23" w:hanging="323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sterowanie urządzeniami elektrochirurgicznymi  (aktywacja koagulacji mono i bipolarnej).</w:t>
            </w:r>
          </w:p>
          <w:p w14:paraId="0C349AEF" w14:textId="77777777" w:rsidR="00F96F2F" w:rsidRDefault="00000000">
            <w:pPr>
              <w:widowControl w:val="0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23" w:hanging="323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Możliwość włączania wizualizacji znacznika ICG z poziomu manetek sterujących konsoli chirurgicznej.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287EFE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9CAAA6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4B43A5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79F53422" w14:textId="77777777">
        <w:trPr>
          <w:cantSplit/>
          <w:trHeight w:val="416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F780E7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4190385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Wizualizacja obrazu w konsoli chirurgicznej:</w:t>
            </w:r>
          </w:p>
          <w:p w14:paraId="2EA8EAD8" w14:textId="77777777" w:rsidR="00F96F2F" w:rsidRDefault="00000000">
            <w:pPr>
              <w:widowControl w:val="0"/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obraz pola operacyjnego z możliwością wyświetlania 2D HD lub 3D HD,</w:t>
            </w:r>
          </w:p>
          <w:p w14:paraId="21463F08" w14:textId="77777777" w:rsidR="00F96F2F" w:rsidRDefault="00000000">
            <w:pPr>
              <w:widowControl w:val="0"/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z wyświetlonymi komunikatami oraz ikonami w polu widzenia operatora dotyczącymi informacji o stanie systemu.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ECD23A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49B702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Przeglądarka stereoskopowa:</w:t>
            </w:r>
          </w:p>
          <w:p w14:paraId="6CFED3EA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a). dostarczająca dwa niezależne obrazy do prawego i lewego oka operatora – tworzące obraz stereoskopowy (3D HD) pola operacyjnego z możliwością wyświetlania obrazu 2D HD</w:t>
            </w:r>
          </w:p>
          <w:p w14:paraId="0714B285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 – 20 pkt</w:t>
            </w:r>
          </w:p>
          <w:p w14:paraId="40114B31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Nie- 0 pkt</w:t>
            </w:r>
          </w:p>
          <w:p w14:paraId="727E7D73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799F9F22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b). tworząca obraz stereoskopowy 3D HD wraz z maksymalnie dwoma obrazami pomocniczymi (ze źródeł zewnętrznych np.: USG)</w:t>
            </w:r>
          </w:p>
          <w:p w14:paraId="7BA8CD04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 – 20 pkt</w:t>
            </w:r>
          </w:p>
          <w:p w14:paraId="15CE016D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Nie- 0 pkt</w:t>
            </w:r>
          </w:p>
          <w:p w14:paraId="1B196687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podać</w:t>
            </w: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7EF7CD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502E1B5D" w14:textId="77777777">
        <w:trPr>
          <w:cantSplit/>
          <w:trHeight w:val="324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DDF330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C75593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bookmarkStart w:id="3" w:name="_heading=h.750ooqv0bpw1" w:colFirst="0" w:colLast="0"/>
            <w:bookmarkEnd w:id="3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Funkcja umożliwiająca operatorowi przeniesienie wzroku z pola operacyjnego przeglądarki stereoskopowej w przestrzeń sali operacyjnej, bez konieczności wyzwalania rąk z manetek sterujących, z zachowaniem stałej, niezmiennej pozycji narzędzi wewnątrz ciała pacjenta w celu uniknięcia niezamierzonych niekontrolowanych ruchów narzędzi w ciele pacjenta. Funkcjonalność zapewniona przez algorytm software polegający na zablokowaniu (zamrożeniu) narzędzi w polu.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2AB9C7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25C4CF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FC17E9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5DCEFEA3" w14:textId="77777777">
        <w:trPr>
          <w:cantSplit/>
          <w:trHeight w:val="560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DC90D6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AD1140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Funkcje sterowane przez operatora konsoli co najmniej w zakresie:</w:t>
            </w:r>
          </w:p>
          <w:p w14:paraId="7D7B7DDE" w14:textId="77777777" w:rsidR="00F96F2F" w:rsidRDefault="00000000">
            <w:pPr>
              <w:widowControl w:val="0"/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991"/>
              </w:tabs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wyświetlenia informacji o narzędziach  i endoskopie,</w:t>
            </w:r>
          </w:p>
          <w:p w14:paraId="0598A1A4" w14:textId="77777777" w:rsidR="00F96F2F" w:rsidRDefault="00000000">
            <w:pPr>
              <w:widowControl w:val="0"/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991"/>
              </w:tabs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przypisania określonej konfiguracji narzędzi do rąk,</w:t>
            </w:r>
          </w:p>
          <w:p w14:paraId="4B7DCAF2" w14:textId="77777777" w:rsidR="00F96F2F" w:rsidRDefault="00000000">
            <w:pPr>
              <w:widowControl w:val="0"/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991"/>
              </w:tabs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sterowania ustawieniami manetek: wysprzęglenia manetek, skalowania ruchu, przypisania manetek do wskazanej ręki operatora,</w:t>
            </w:r>
          </w:p>
          <w:p w14:paraId="33DF92DC" w14:textId="77777777" w:rsidR="00F96F2F" w:rsidRDefault="00000000">
            <w:pPr>
              <w:widowControl w:val="0"/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991"/>
              </w:tabs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pozycjonowanie endoskopu i sterowania  jego  funkcjami,</w:t>
            </w:r>
          </w:p>
          <w:p w14:paraId="2311DFCF" w14:textId="77777777" w:rsidR="00F96F2F" w:rsidRDefault="00000000">
            <w:pPr>
              <w:widowControl w:val="0"/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991"/>
              </w:tabs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sterowania ustawieniami obrazu oraz zapisu,</w:t>
            </w:r>
          </w:p>
          <w:p w14:paraId="7FC3D286" w14:textId="77777777" w:rsidR="00F96F2F" w:rsidRDefault="00000000">
            <w:pPr>
              <w:widowControl w:val="0"/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991"/>
              </w:tabs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sterowania funkcjonalnościami: skalowania ruchu, cyfrowego powiększenia obrazu, sterowaniem odległości roboczej i sposobu wyświetlania obrazu na konsoli chirurgicznej - 2D HD/3D HD).</w:t>
            </w:r>
          </w:p>
          <w:p w14:paraId="16706614" w14:textId="77777777" w:rsidR="00F96F2F" w:rsidRDefault="00000000">
            <w:pPr>
              <w:widowControl w:val="0"/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991"/>
              </w:tabs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sterowania funkcjonalnościami sygnałów zewnętrznych (np.: USG)</w:t>
            </w:r>
          </w:p>
          <w:p w14:paraId="7108C96E" w14:textId="77777777" w:rsidR="00F96F2F" w:rsidRDefault="00000000">
            <w:pPr>
              <w:widowControl w:val="0"/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991"/>
              </w:tabs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sterowania danymi konta użytkownika  konsoli chirurgicznej.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247BB1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7AA2386" w14:textId="77777777" w:rsidR="00F96F2F" w:rsidRDefault="00000000">
            <w:pPr>
              <w:widowControl w:val="0"/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69" w:hanging="169"/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możliwość przypisania określonej konfiguracji narzędzi do rąk i nóg operatora (elektrokoagulacji)</w:t>
            </w:r>
          </w:p>
          <w:p w14:paraId="252186A6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 – 20 pkt</w:t>
            </w:r>
          </w:p>
          <w:p w14:paraId="12376646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Nie- 0 pkt</w:t>
            </w:r>
          </w:p>
          <w:p w14:paraId="725B4858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32F34BA9" w14:textId="77777777" w:rsidR="00F96F2F" w:rsidRDefault="00000000">
            <w:pPr>
              <w:widowControl w:val="0"/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271"/>
              </w:tabs>
              <w:ind w:left="0" w:firstLine="0"/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sterowania ustawieniami dźwięku         (mikrofonu konsoli chirurgicznej i głośnika z kolumny ramion robotycznych)</w:t>
            </w:r>
          </w:p>
          <w:p w14:paraId="3AAA5741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 – 20 pkt</w:t>
            </w:r>
          </w:p>
          <w:p w14:paraId="33E22FAE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Nie- 0 pkt</w:t>
            </w:r>
          </w:p>
          <w:p w14:paraId="074C029A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0A0C8000" w14:textId="77777777" w:rsidR="00F96F2F" w:rsidRDefault="00000000">
            <w:pPr>
              <w:widowControl w:val="0"/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69" w:hanging="169"/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sterowanie funkcją telestracji</w:t>
            </w:r>
          </w:p>
          <w:p w14:paraId="1C97405E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 – 20 pkt</w:t>
            </w:r>
          </w:p>
          <w:p w14:paraId="718D0ABF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Nie- 0 pkt</w:t>
            </w:r>
          </w:p>
          <w:p w14:paraId="4AE22EDB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podać</w:t>
            </w: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2C6FEF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72CA19BE" w14:textId="77777777">
        <w:trPr>
          <w:cantSplit/>
          <w:trHeight w:val="275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0B92BF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0999ED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bookmarkStart w:id="4" w:name="_heading=h.bstylk71k3v7" w:colFirst="0" w:colLast="0"/>
            <w:bookmarkEnd w:id="4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Możliwość integracji z drugą konsolą chirurgiczną (nie stanowiącą przedmiotu zamówienia) umożliwiającą współpracę operatorów każdej z konsol, polegającą na możliwości przekazania uprawnień zarządzania wszystkimi dostępnymi narzędziami oraz endoskopem, sterowanie wirtualnym wskaźnikiem.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63128F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CBBC5C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05E90A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71B7646E" w14:textId="77777777">
        <w:trPr>
          <w:cantSplit/>
          <w:trHeight w:val="417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4A8AA1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B51F07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bookmarkStart w:id="5" w:name="_heading=h.sbab1boudii2" w:colFirst="0" w:colLast="0"/>
            <w:bookmarkEnd w:id="5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W przypadku błędu nieodwracalnego systemu robotycznego lub nagłej utraty zasilania - funkcja restartu systemu chirurgii robotycznej z poziomu konsoli chirurgicznej  przez operatora - bez konieczności usuwania narzędzi robotycznych z pola operacyjnego w czasie restartu systemu.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B740F88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84B2E4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CFB09E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3F98ADCE" w14:textId="77777777">
        <w:trPr>
          <w:cantSplit/>
          <w:trHeight w:val="417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394B14B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A62624A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WÓZEK/KI ROBOTYCZNY/E PACJENTA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6174C4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C972C5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44DB29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1BADEAC0" w14:textId="77777777">
        <w:trPr>
          <w:cantSplit/>
          <w:trHeight w:val="417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507FB1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3F8A8F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Wózek robotyczny pacjenta z 4 szt uniwersalnych ramion robotycznych lub 4 szt wózków robotycznych z pojedynczymi ramionami robotycznymi (z czego 1 szt ramienia robotycznego dedykowana do endoskopu z kamerą).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B360F2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9B0B51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Mobilny, pojedynczy wózek wyposażony w: kolumnę z przegubami nastawczymi,  czteroma uniwersalnymi ramionami robotycznymi zamocowanymi do pojedynczej kolumny-  zapewniający ruchy narzędzi chirurgicznych realizowane przez zagięcie kątowe/artykulację końcówek narzędzi chirurgicznych w zakresie minimum 540 stopni</w:t>
            </w:r>
          </w:p>
          <w:p w14:paraId="690DEF60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 – 20 pkt</w:t>
            </w:r>
          </w:p>
          <w:p w14:paraId="56A5249E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Nie- 0 pkt</w:t>
            </w:r>
          </w:p>
          <w:p w14:paraId="187AAD13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podać</w:t>
            </w: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4E660E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514B6626" w14:textId="77777777">
        <w:trPr>
          <w:cantSplit/>
          <w:trHeight w:val="417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137C0C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8AD052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Wózek/ki robotyczne mobilne.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66AC49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DEC45D5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Napęd elektryczny wózka:</w:t>
            </w:r>
          </w:p>
          <w:p w14:paraId="4C3FEA00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umożliwiający sterowanie ruchem podczas transportu oraz dokowania</w:t>
            </w:r>
          </w:p>
          <w:p w14:paraId="4B00D1E0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 – 20 pkt</w:t>
            </w:r>
          </w:p>
          <w:p w14:paraId="798049F9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Nie- 0 pkt</w:t>
            </w:r>
          </w:p>
          <w:p w14:paraId="49A2E039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podać</w:t>
            </w: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80D3D6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180FB984" w14:textId="77777777">
        <w:trPr>
          <w:cantSplit/>
          <w:trHeight w:val="1132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9A9C7D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725BB3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Kolumna(y) robotyczna(e) z możliwością co najmniej:</w:t>
            </w:r>
          </w:p>
          <w:p w14:paraId="2034B846" w14:textId="77777777" w:rsidR="00F96F2F" w:rsidRDefault="00000000">
            <w:pPr>
              <w:widowControl w:val="0"/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obrotu ramion względem osi pionowej i poziomej,</w:t>
            </w:r>
          </w:p>
          <w:p w14:paraId="218E0B88" w14:textId="77777777" w:rsidR="00F96F2F" w:rsidRDefault="00000000">
            <w:pPr>
              <w:widowControl w:val="0"/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możliwością ustalenia pivotu ramion/enia robotycznych/ego</w:t>
            </w:r>
          </w:p>
          <w:p w14:paraId="615D196D" w14:textId="77777777" w:rsidR="00F96F2F" w:rsidRDefault="00000000">
            <w:pPr>
              <w:widowControl w:val="0"/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z systemem laserowym umożliwiającym ustalanie  centralnego punktu dokowania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A54D34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8F9F3B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DC5E04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56B7B2FC" w14:textId="77777777">
        <w:trPr>
          <w:cantSplit/>
          <w:trHeight w:val="546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4CAC4F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7B24BF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Przeguby nastawcze służące do ustawiania ramion na platformie operacyjnej w celu ustalenia pivotu i dokowania.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3D8941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4C7629A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1E5535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6BE9A7B4" w14:textId="77777777">
        <w:trPr>
          <w:cantSplit/>
          <w:trHeight w:val="417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5A5A91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515188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Ramiona robotyczne wyposażone w mocowanie na narzędzia z możliwością zastosowania sterylnego, jednorazowego obłożenia ramienia robotycznego.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B1949E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9F2C72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78C9FD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45566A5C" w14:textId="77777777">
        <w:trPr>
          <w:cantSplit/>
          <w:trHeight w:val="1476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D39873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98C81EB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Ramiona robotyczne współpracujące z artykulacyjnymi narzędziami chirurgii robotycznej, które posiadają certyfikat CE.</w:t>
            </w:r>
          </w:p>
          <w:p w14:paraId="5E60DDE0" w14:textId="77777777" w:rsidR="00F96F2F" w:rsidRDefault="00000000">
            <w:pPr>
              <w:widowControl w:val="0"/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Artykulacyjne monopolarne narzędzia elektrochirurgiczne co najmniej 3 typy,</w:t>
            </w:r>
          </w:p>
          <w:p w14:paraId="452CBB7B" w14:textId="77777777" w:rsidR="00F96F2F" w:rsidRDefault="00000000">
            <w:pPr>
              <w:widowControl w:val="0"/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Artykulacyjne bipolarne narzędzia elektrochirurgiczne co najmniej 3 typy,</w:t>
            </w:r>
          </w:p>
          <w:p w14:paraId="6021471B" w14:textId="77777777" w:rsidR="00F96F2F" w:rsidRDefault="00000000">
            <w:pPr>
              <w:widowControl w:val="0"/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Artykulacyjne graspery co najmniej 4 typy.</w:t>
            </w:r>
          </w:p>
          <w:p w14:paraId="77B1C673" w14:textId="77777777" w:rsidR="00F96F2F" w:rsidRDefault="00000000">
            <w:pPr>
              <w:widowControl w:val="0"/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Artykulacyjne imadła co najmniej 2 typy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171C57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A72B77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3B69CC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51EB4914" w14:textId="77777777">
        <w:trPr>
          <w:cantSplit/>
          <w:trHeight w:val="699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3B2E8E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75BCFA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Ramiona robotyczne współpracujące z artykulacyjnymi i specjalistycznymi narzędziami chirurgii robotycznej, które posiadają certyfikat CE.</w:t>
            </w:r>
          </w:p>
          <w:p w14:paraId="0BDF8FED" w14:textId="77777777" w:rsidR="00F96F2F" w:rsidRDefault="00000000">
            <w:pPr>
              <w:widowControl w:val="0"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Jednorazowe sterylne, artykulacyjne narzędzie bipolarne chirurgii robotycznej do uszczelniania i cięcia naczyń krwionośnych do średnicy 7mm, chwytania i dysekcji.</w:t>
            </w:r>
          </w:p>
          <w:p w14:paraId="1AA1270E" w14:textId="77777777" w:rsidR="00F96F2F" w:rsidRDefault="00000000">
            <w:pPr>
              <w:widowControl w:val="0"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Jednorazowy sterylny, artykulacyjny stapler chirurgii robotycznej, z prostą końcówką bransz - o długości szycia (45 lub 60 mm) wraz z możliwością wyboru kompletu magazynków sześciorzędowych zszywek o wysokości ( w przedziale 2,5mm-4,6mm).</w:t>
            </w:r>
          </w:p>
          <w:p w14:paraId="33640127" w14:textId="77777777" w:rsidR="00F96F2F" w:rsidRDefault="00000000">
            <w:pPr>
              <w:widowControl w:val="0"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Wielorazowe artykulacyjne klipsownice chirurgii robotycznej .</w:t>
            </w:r>
          </w:p>
          <w:p w14:paraId="1E8D106F" w14:textId="77777777" w:rsidR="00F96F2F" w:rsidRDefault="00000000">
            <w:pPr>
              <w:widowControl w:val="0"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Wielorazowe artykulacyjne narzędzie bipolarne o zmiennej sile zacisku bransz ( mocna/słaba).</w:t>
            </w:r>
          </w:p>
          <w:p w14:paraId="24BC2EF1" w14:textId="77777777" w:rsidR="00F96F2F" w:rsidRDefault="00000000">
            <w:pPr>
              <w:widowControl w:val="0"/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Jednorazowy sterylny ssak-irygator z artykulacją nadgarstkową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61AB5D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7F80A7E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B75957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5D73B0DA" w14:textId="77777777">
        <w:trPr>
          <w:cantSplit/>
          <w:trHeight w:val="417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5F6260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4DDC1C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Endoskopy, w ramach dostawy:</w:t>
            </w:r>
          </w:p>
          <w:p w14:paraId="6E01F2D7" w14:textId="77777777" w:rsidR="00F96F2F" w:rsidRDefault="00000000">
            <w:pPr>
              <w:widowControl w:val="0"/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 szt endoskopu z końcówką 30°, 3D HD,</w:t>
            </w:r>
          </w:p>
          <w:p w14:paraId="5BCE05AF" w14:textId="77777777" w:rsidR="00F96F2F" w:rsidRDefault="00000000">
            <w:pPr>
              <w:widowControl w:val="0"/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 szt endoskopu z końcówką 0°, 3D HD,</w:t>
            </w:r>
          </w:p>
          <w:p w14:paraId="09BCF3DA" w14:textId="77777777" w:rsidR="00F96F2F" w:rsidRDefault="00000000">
            <w:pPr>
              <w:widowControl w:val="0"/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wszystkie endoskopy zintegrowane z kamerą/ami,</w:t>
            </w:r>
          </w:p>
          <w:p w14:paraId="30E3AD8A" w14:textId="77777777" w:rsidR="00F96F2F" w:rsidRDefault="00000000">
            <w:pPr>
              <w:widowControl w:val="0"/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o  minimalnym powiększeniu optycznym 10 krotnym,</w:t>
            </w:r>
          </w:p>
          <w:p w14:paraId="29855B94" w14:textId="77777777" w:rsidR="00F96F2F" w:rsidRDefault="00000000">
            <w:pPr>
              <w:widowControl w:val="0"/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o minimalnym powiększeniu cyfrowym 4 krotnym,</w:t>
            </w:r>
          </w:p>
          <w:p w14:paraId="7C170B70" w14:textId="77777777" w:rsidR="00F96F2F" w:rsidRDefault="00000000">
            <w:pPr>
              <w:widowControl w:val="0"/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wbudowany laser podczerwieni w celu wizualizacji znacznika ICG.</w:t>
            </w:r>
          </w:p>
          <w:p w14:paraId="1B1EBD41" w14:textId="77777777" w:rsidR="00F96F2F" w:rsidRDefault="00000000">
            <w:pPr>
              <w:widowControl w:val="0"/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Automatyczny balans bieli i kalibracja 3D, po podłączeniu endoskopu do kontrolera.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4F19F1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A2F649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Możliwość osadzenia endoskopu chirurgii robotycznej w każdym z ramion robotycznych wózka robotycznego, bez konieczności zmiany kaniuli (lub założenia redukcji kaniuli) i bez konieczności przestawiania wózka robotycznego w polu operacyjnym</w:t>
            </w:r>
          </w:p>
          <w:p w14:paraId="74CF3026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4B7715A5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 – 20 pkt</w:t>
            </w:r>
          </w:p>
          <w:p w14:paraId="32862DE3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Nie- 0 pkt</w:t>
            </w:r>
          </w:p>
          <w:p w14:paraId="609B3A39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podać</w:t>
            </w: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1597F7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08975E99" w14:textId="77777777">
        <w:trPr>
          <w:cantSplit/>
          <w:trHeight w:val="417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547808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58DA6C4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Możliwość sterowania funkcjami endoskopu (ustawienia kąta widzenia, horyzontu, wykonania zdjęcia)z poziomu konsoli chirurgicznej.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43A191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9A14E3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2020CE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63F54D15" w14:textId="77777777">
        <w:trPr>
          <w:cantSplit/>
          <w:trHeight w:val="417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14CC4E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EE9311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Możliwość sterowania funkcjami endoskopu   z poziomu głowicy kamery endoskopu zainstalowanego w ramieniu robotycznym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58CDEFF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53C516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BCBEED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4E14932E" w14:textId="77777777">
        <w:trPr>
          <w:cantSplit/>
          <w:trHeight w:val="417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9B074E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74171F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Automatyczne wykrywanie przez system robotyczny położenia endoskopu (o kącie 30 stopni) bezpośrednio po zamontowaniu do ramienia robotycznego.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A7EDA8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55275C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D3F2C1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55723BC3" w14:textId="77777777">
        <w:trPr>
          <w:cantSplit/>
          <w:trHeight w:val="700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5F26FA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670171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Możliwość „awaryjnego” otwarcia bransz narzędzi robotycznych w czasie zabiegu operacyjnego z użyciem dedykowanego śrubokręta bez konieczności wyjmowania narzędzi z ramienia robotycznego.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AEFD82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9401336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2DADD2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3727B0C2" w14:textId="77777777">
        <w:trPr>
          <w:cantSplit/>
          <w:trHeight w:val="695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A6B85F4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9FE9A83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Możliwość zmiany narzędzia robotycznego i endoskopu robotycznego na inny w czasie zabiegu operacyjnego  z pamięcią jego ostatniego położenia w całym zasięgu ramienia robotycznego (również blisko granicy zasięgu ramienia).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7A6843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FE8F8F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D623C9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3FDAF6BC" w14:textId="77777777">
        <w:trPr>
          <w:cantSplit/>
          <w:trHeight w:val="417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B4DB0C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44034C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WIZYJNY – 1 szt.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53F4D54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8867DBB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92768D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541F6944" w14:textId="77777777">
        <w:trPr>
          <w:cantSplit/>
          <w:trHeight w:val="417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385945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C59723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System wizyjny zintegrowany na poziomie softwerowym z robotem chirurgicznym, na kolumnie mobilnej.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440935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3A221AE2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6E27C4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F877FA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5F508C01" w14:textId="77777777">
        <w:trPr>
          <w:cantSplit/>
          <w:trHeight w:val="417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163F6D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8C1DBF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System wizyjny wyposażony co najmniej w:</w:t>
            </w:r>
          </w:p>
          <w:p w14:paraId="3E5E30D5" w14:textId="77777777" w:rsidR="00F96F2F" w:rsidRDefault="00000000">
            <w:pPr>
              <w:widowControl w:val="0"/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ind w:left="324" w:hanging="284"/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tor wizyjny o wysokiej rozdzielczości HD,</w:t>
            </w:r>
          </w:p>
          <w:p w14:paraId="3E842C60" w14:textId="77777777" w:rsidR="00F96F2F" w:rsidRDefault="00000000">
            <w:pPr>
              <w:widowControl w:val="0"/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ind w:left="324" w:hanging="284"/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Endoskopy (parametry wymagane opisane w punkcie 25,</w:t>
            </w:r>
          </w:p>
          <w:p w14:paraId="6FA74646" w14:textId="77777777" w:rsidR="00F96F2F" w:rsidRDefault="00000000">
            <w:pPr>
              <w:widowControl w:val="0"/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ind w:left="324" w:hanging="284"/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monitor minimum 24” wyświetlający obraz z endoskopu (lewego lub prawego kanału optycznego),</w:t>
            </w:r>
          </w:p>
          <w:p w14:paraId="7F3FDEBE" w14:textId="77777777" w:rsidR="00F96F2F" w:rsidRDefault="00000000">
            <w:pPr>
              <w:widowControl w:val="0"/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ind w:left="324" w:hanging="284"/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panel sterujący na ekranie monitora umożliwiający regulację co najmniej:</w:t>
            </w:r>
          </w:p>
          <w:p w14:paraId="50510DD7" w14:textId="77777777" w:rsidR="00F96F2F" w:rsidRDefault="00000000">
            <w:pPr>
              <w:widowControl w:val="0"/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ustawienia parametrów obrazu pola operacyjnego,</w:t>
            </w:r>
          </w:p>
          <w:p w14:paraId="508CE3D2" w14:textId="77777777" w:rsidR="00F96F2F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sterowanie parametrami endoskopu i konfiguracja sygnałów wideo i audio.</w:t>
            </w:r>
          </w:p>
          <w:p w14:paraId="480CCCA6" w14:textId="77777777" w:rsidR="00F96F2F" w:rsidRDefault="00000000">
            <w:pPr>
              <w:widowControl w:val="0"/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588"/>
              </w:tabs>
              <w:spacing w:before="120"/>
              <w:ind w:left="317"/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możliwość sterowania sygnałami na zewnątrz (w konfiguracji 2D HD i 3D HD) do monitorów zewnętrznych i źródeł streamingowych.</w:t>
            </w:r>
          </w:p>
          <w:p w14:paraId="2E13E295" w14:textId="77777777" w:rsidR="00F96F2F" w:rsidRDefault="00000000">
            <w:pPr>
              <w:widowControl w:val="0"/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588"/>
              </w:tabs>
              <w:spacing w:before="120"/>
              <w:ind w:left="317"/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konfiguracja – komunikaty głosowe i instrukcja „krok po kroku” w celu pomyślnego przygotowania  ustawienia i zadokowania wózka robotycznego pacjenta do pacjenta.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E845A5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69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C4AAC7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Monitor toru wizyjnego wyświetlający  obraz z przeglądarki 3D HD konsoli chirurgicznej, obrazy zewnętrzne (USG )</w:t>
            </w:r>
          </w:p>
          <w:p w14:paraId="1BD853FC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69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 – 20 pkt</w:t>
            </w:r>
          </w:p>
          <w:p w14:paraId="551AAD28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69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Nie- 0 pkt</w:t>
            </w:r>
          </w:p>
          <w:p w14:paraId="7B71C3B9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6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566E9B7F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podać</w:t>
            </w: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504AC0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707E3B45" w14:textId="77777777">
        <w:trPr>
          <w:cantSplit/>
          <w:trHeight w:val="417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17DDB4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A105FA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WYPOSAŻENIE ZESTAWU ROBOTA CHIRURGICZNEGO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26F1B84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7F6CAC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78D489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09BB32C1" w14:textId="77777777">
        <w:trPr>
          <w:cantSplit/>
          <w:trHeight w:val="417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B4CC6B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12E322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Zestaw narzędzi i akcesoriów posiadających certyfikat CE do wykonania minimum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500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zabiegów z zakresu:</w:t>
            </w:r>
          </w:p>
          <w:p w14:paraId="13A08D62" w14:textId="77777777" w:rsidR="00F96F2F" w:rsidRDefault="00000000">
            <w:pPr>
              <w:widowControl w:val="0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Urologia</w:t>
            </w:r>
          </w:p>
          <w:p w14:paraId="115CB029" w14:textId="77777777" w:rsidR="00F96F2F" w:rsidRDefault="00000000">
            <w:pPr>
              <w:widowControl w:val="0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Chirurgia ogólna/kolorektalna</w:t>
            </w:r>
          </w:p>
          <w:p w14:paraId="2BDEDA48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W tym do każdego z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50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zabiegów(Poz. b)) należy uwzględnić 1 szt  narzędzia zaawansowanego dostępnego spośród narzędzi robotycznych zaawansowanych opisanych powyżej. W przypadku staplera należy przyjąć 2 szt. magazynków do zabiegu.</w:t>
            </w:r>
          </w:p>
          <w:p w14:paraId="1F68B747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m. in. wielorazowe narzędzia chirurgiczne z głowicą przegubową / artykulacyjną: dostępne narzędzia zgodnie z wymaganiami powyżej, trokary współpracujące z ramionami robotycznymi, obłożenia jednorazowe ramion i kolumny/ przedłużenia ramienia robotycznego, kable mono-bipolarne, uszczelki jednorazowe, osłony nożyc monopolarnych).</w:t>
            </w:r>
          </w:p>
          <w:p w14:paraId="0F4BDE56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6C9D3DEA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Termin przydatności do użycia  narzędzi/ akcesoriów sterylnych, jednorazowego użytku nie może być krótszy niż 12 miesięcy.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5D2E72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TAK, podać zaoferowaną ilość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CBAFBD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21EE2E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5C690682" w14:textId="77777777">
        <w:trPr>
          <w:cantSplit/>
          <w:trHeight w:val="417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96D9FF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35FB34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Wykonawca będzie odpowiadał za weryfikację terminów przydatności wyrobów jednorazowego użytku.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4F2E590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55D9FD3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C94BAE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0507D823" w14:textId="77777777">
        <w:trPr>
          <w:cantSplit/>
          <w:trHeight w:val="417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2BA130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D380DC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System elektrochirurgii/diatermia zintegrowany na poziomie oprogramowania z zaoferowanym robotem chirurgicznym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034A45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TAK, podać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450472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C858EA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DC42E6" w:rsidRPr="00DC42E6" w14:paraId="36033E00" w14:textId="77777777">
        <w:trPr>
          <w:cantSplit/>
          <w:trHeight w:val="281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FB6300" w14:textId="77777777" w:rsidR="00F96F2F" w:rsidRPr="00DC42E6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strike/>
                <w:color w:val="EE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11B7E2" w14:textId="77777777" w:rsidR="00F96F2F" w:rsidRPr="00DC42E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strike/>
                <w:color w:val="EE0000"/>
              </w:rPr>
            </w:pPr>
            <w:r w:rsidRPr="00DC42E6">
              <w:rPr>
                <w:rFonts w:ascii="Times New Roman" w:eastAsia="Times New Roman" w:hAnsi="Times New Roman" w:cs="Times New Roman"/>
                <w:strike/>
                <w:color w:val="EE0000"/>
                <w:sz w:val="20"/>
                <w:szCs w:val="20"/>
              </w:rPr>
              <w:t>System elektrochirurgii/diatermia:</w:t>
            </w:r>
          </w:p>
          <w:p w14:paraId="65C864D7" w14:textId="77777777" w:rsidR="00F96F2F" w:rsidRPr="00DC42E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strike/>
                <w:color w:val="EE0000"/>
              </w:rPr>
            </w:pPr>
            <w:r w:rsidRPr="00DC42E6">
              <w:rPr>
                <w:rFonts w:ascii="Times New Roman" w:eastAsia="Times New Roman" w:hAnsi="Times New Roman" w:cs="Times New Roman"/>
                <w:strike/>
                <w:color w:val="EE0000"/>
                <w:sz w:val="20"/>
                <w:szCs w:val="20"/>
              </w:rPr>
              <w:t>- tryby umożliwiające wykonywanie cięcia i koagulacji w trybach monopolarnym i bipolarnym,</w:t>
            </w:r>
          </w:p>
          <w:p w14:paraId="53D1832A" w14:textId="77777777" w:rsidR="00F96F2F" w:rsidRPr="00DC42E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strike/>
                <w:color w:val="EE0000"/>
              </w:rPr>
            </w:pPr>
            <w:r w:rsidRPr="00DC42E6">
              <w:rPr>
                <w:rFonts w:ascii="Times New Roman" w:eastAsia="Times New Roman" w:hAnsi="Times New Roman" w:cs="Times New Roman"/>
                <w:strike/>
                <w:color w:val="EE0000"/>
                <w:sz w:val="20"/>
                <w:szCs w:val="20"/>
              </w:rPr>
              <w:t>- koagulacja dużych naczyń do 7 mm do wykorzystania specjalistycznych narzędzi do laparotomii i laparoskopii,</w:t>
            </w:r>
          </w:p>
          <w:p w14:paraId="27A1D427" w14:textId="77777777" w:rsidR="00F96F2F" w:rsidRPr="00DC42E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strike/>
                <w:color w:val="EE0000"/>
              </w:rPr>
            </w:pPr>
            <w:r w:rsidRPr="00DC42E6">
              <w:rPr>
                <w:rFonts w:ascii="Times New Roman" w:eastAsia="Times New Roman" w:hAnsi="Times New Roman" w:cs="Times New Roman"/>
                <w:strike/>
                <w:color w:val="EE0000"/>
                <w:sz w:val="20"/>
                <w:szCs w:val="20"/>
              </w:rPr>
              <w:t>- możliwość rozbudowy o przystawkę argonową,</w:t>
            </w:r>
          </w:p>
          <w:p w14:paraId="0654933E" w14:textId="77777777" w:rsidR="00F96F2F" w:rsidRPr="00DC42E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strike/>
                <w:color w:val="EE0000"/>
              </w:rPr>
            </w:pPr>
            <w:r w:rsidRPr="00DC42E6">
              <w:rPr>
                <w:rFonts w:ascii="Times New Roman" w:eastAsia="Times New Roman" w:hAnsi="Times New Roman" w:cs="Times New Roman"/>
                <w:strike/>
                <w:color w:val="EE0000"/>
                <w:sz w:val="20"/>
                <w:szCs w:val="20"/>
              </w:rPr>
              <w:t>- monitorowanie poprawnego przylegania elektrody neutralnej z możliwością odczytu wartości liczbowej,</w:t>
            </w:r>
          </w:p>
          <w:p w14:paraId="75A17867" w14:textId="77777777" w:rsidR="00F96F2F" w:rsidRPr="00DC42E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strike/>
                <w:color w:val="EE0000"/>
              </w:rPr>
            </w:pPr>
            <w:r w:rsidRPr="00DC42E6">
              <w:rPr>
                <w:rFonts w:ascii="Times New Roman" w:eastAsia="Times New Roman" w:hAnsi="Times New Roman" w:cs="Times New Roman"/>
                <w:strike/>
                <w:color w:val="EE0000"/>
                <w:sz w:val="20"/>
                <w:szCs w:val="20"/>
              </w:rPr>
              <w:t>- możliwość tworzenia programów i zapisania ich,</w:t>
            </w:r>
          </w:p>
          <w:p w14:paraId="4E95012D" w14:textId="77777777" w:rsidR="00F96F2F" w:rsidRPr="00DC42E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strike/>
                <w:color w:val="EE0000"/>
              </w:rPr>
            </w:pPr>
            <w:r w:rsidRPr="00DC42E6">
              <w:rPr>
                <w:rFonts w:ascii="Times New Roman" w:eastAsia="Times New Roman" w:hAnsi="Times New Roman" w:cs="Times New Roman"/>
                <w:strike/>
                <w:color w:val="EE0000"/>
                <w:sz w:val="20"/>
                <w:szCs w:val="20"/>
              </w:rPr>
              <w:t>- gniazda przyłączeniowe monopolarne, bipolarne, neutralne uniwersalne,</w:t>
            </w:r>
          </w:p>
          <w:p w14:paraId="455AFBA1" w14:textId="77777777" w:rsidR="00F96F2F" w:rsidRPr="00DC42E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strike/>
                <w:color w:val="EE0000"/>
              </w:rPr>
            </w:pPr>
            <w:r w:rsidRPr="00DC42E6">
              <w:rPr>
                <w:rFonts w:ascii="Times New Roman" w:eastAsia="Times New Roman" w:hAnsi="Times New Roman" w:cs="Times New Roman"/>
                <w:strike/>
                <w:color w:val="EE0000"/>
                <w:sz w:val="20"/>
                <w:szCs w:val="20"/>
              </w:rPr>
              <w:t>- możliwość pracy z funkcją automatycznej aktywacji po uzyskaniu bezpośredniego kontaktu elektrody z tkanką,</w:t>
            </w:r>
          </w:p>
          <w:p w14:paraId="4E7438FD" w14:textId="77777777" w:rsidR="00F96F2F" w:rsidRPr="00DC42E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strike/>
                <w:color w:val="EE0000"/>
              </w:rPr>
            </w:pPr>
            <w:r w:rsidRPr="00DC42E6">
              <w:rPr>
                <w:rFonts w:ascii="Times New Roman" w:eastAsia="Times New Roman" w:hAnsi="Times New Roman" w:cs="Times New Roman"/>
                <w:strike/>
                <w:color w:val="EE0000"/>
                <w:sz w:val="20"/>
                <w:szCs w:val="20"/>
              </w:rPr>
              <w:t>- ewakuator dymu.</w:t>
            </w:r>
          </w:p>
          <w:p w14:paraId="5BBB1228" w14:textId="77777777" w:rsidR="00F96F2F" w:rsidRPr="00DC42E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strike/>
                <w:color w:val="EE0000"/>
              </w:rPr>
            </w:pPr>
            <w:r w:rsidRPr="00DC42E6">
              <w:rPr>
                <w:rFonts w:ascii="Times New Roman" w:eastAsia="Times New Roman" w:hAnsi="Times New Roman" w:cs="Times New Roman"/>
                <w:strike/>
                <w:color w:val="EE0000"/>
                <w:sz w:val="20"/>
                <w:szCs w:val="20"/>
              </w:rPr>
              <w:t>Wyposażenie zestawu startowego:</w:t>
            </w:r>
          </w:p>
          <w:p w14:paraId="32B476FA" w14:textId="77777777" w:rsidR="00F96F2F" w:rsidRPr="00DC42E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strike/>
                <w:color w:val="EE0000"/>
              </w:rPr>
            </w:pPr>
            <w:r w:rsidRPr="00DC42E6">
              <w:rPr>
                <w:rFonts w:ascii="Times New Roman" w:eastAsia="Times New Roman" w:hAnsi="Times New Roman" w:cs="Times New Roman"/>
                <w:strike/>
                <w:color w:val="EE0000"/>
                <w:sz w:val="20"/>
                <w:szCs w:val="20"/>
              </w:rPr>
              <w:t>- Włączniki noży, wózek, , uchwyty monopolarne wielorazowe 2 szt., uchwyty monopolarne sterylne  25 szt., elektrody szpatułkowe w 3 rozmiarach 15 szt., 2 narzędzia specjalistyczne do zamykania dużych naczyń do zabiegów laparoskopowych, 10 szt. narzędzi sterylnych do zamykania dużych naczyń do zabiegów laparoskopowych, 100 szt. elektrod neutralnych jednorazowych, 1 filtr główny do ewakuatora dymów, 30 szt. filtrów wstępnych do ewakuatora, 20 szt. uchwytów ze szpatułką, 10 szt. Drenów do laparoskopii do odprowadzenia dymu.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45249E" w14:textId="77777777" w:rsidR="00F96F2F" w:rsidRPr="00DC42E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strike/>
                <w:color w:val="EE0000"/>
              </w:rPr>
            </w:pPr>
            <w:r w:rsidRPr="00DC42E6">
              <w:rPr>
                <w:rFonts w:ascii="Times New Roman" w:eastAsia="Times New Roman" w:hAnsi="Times New Roman" w:cs="Times New Roman"/>
                <w:strike/>
                <w:color w:val="EE0000"/>
                <w:sz w:val="20"/>
                <w:szCs w:val="20"/>
              </w:rPr>
              <w:t>TAK, podać</w:t>
            </w:r>
          </w:p>
          <w:p w14:paraId="079AAC66" w14:textId="77777777" w:rsidR="00F96F2F" w:rsidRPr="00DC42E6" w:rsidRDefault="00000000">
            <w:pPr>
              <w:widowControl w:val="0"/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56"/>
              </w:tabs>
              <w:spacing w:before="57"/>
              <w:ind w:left="397" w:hanging="340"/>
              <w:rPr>
                <w:strike/>
                <w:color w:val="EE0000"/>
              </w:rPr>
            </w:pPr>
            <w:r w:rsidRPr="00DC42E6">
              <w:rPr>
                <w:rFonts w:ascii="Times New Roman" w:eastAsia="Times New Roman" w:hAnsi="Times New Roman" w:cs="Times New Roman"/>
                <w:strike/>
                <w:color w:val="EE0000"/>
                <w:sz w:val="20"/>
                <w:szCs w:val="20"/>
              </w:rPr>
              <w:t>model/typ</w:t>
            </w:r>
          </w:p>
          <w:p w14:paraId="53D48737" w14:textId="77777777" w:rsidR="00F96F2F" w:rsidRPr="00DC42E6" w:rsidRDefault="00000000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56"/>
              </w:tabs>
              <w:spacing w:before="57"/>
              <w:ind w:left="397" w:hanging="340"/>
              <w:rPr>
                <w:strike/>
                <w:color w:val="EE0000"/>
              </w:rPr>
            </w:pPr>
            <w:r w:rsidRPr="00DC42E6">
              <w:rPr>
                <w:rFonts w:ascii="Times New Roman" w:eastAsia="Times New Roman" w:hAnsi="Times New Roman" w:cs="Times New Roman"/>
                <w:strike/>
                <w:color w:val="EE0000"/>
                <w:sz w:val="20"/>
                <w:szCs w:val="20"/>
              </w:rPr>
              <w:t>producent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5431BC" w14:textId="77777777" w:rsidR="00F96F2F" w:rsidRPr="00DC42E6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strike/>
                <w:color w:val="EE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04AA3B" w14:textId="77777777" w:rsidR="00F96F2F" w:rsidRPr="00DC42E6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strike/>
                <w:color w:val="EE0000"/>
                <w:sz w:val="20"/>
                <w:szCs w:val="20"/>
              </w:rPr>
            </w:pPr>
          </w:p>
        </w:tc>
      </w:tr>
      <w:tr w:rsidR="00F96F2F" w14:paraId="148E7C44" w14:textId="77777777">
        <w:trPr>
          <w:cantSplit/>
          <w:trHeight w:val="417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6E520E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44EA492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Symulator służący do nauki i do oceny sprawności manualnej Operatorów z pakietem ćwiczeń podstawowych zawartych przez Producenta w programie nauczania operatora.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0C6BCD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906D7D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C54254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229845F0" w14:textId="77777777">
        <w:trPr>
          <w:cantSplit/>
          <w:trHeight w:val="350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941F7F9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D2D8EF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Nagrywarka medyczna z 3 szt. dysków twardych 4TB External HDD USB 3.2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DD91B9E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057195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E364A2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14E6DD27" w14:textId="77777777">
        <w:trPr>
          <w:cantSplit/>
          <w:trHeight w:val="417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BFCCAC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1BBD13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Monitor medyczny min. 55” z zawieszeniem ściennym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314C89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451D3F4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3CE340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7AA28608" w14:textId="77777777">
        <w:trPr>
          <w:cantSplit/>
          <w:trHeight w:val="417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BEDEE8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07A5DE5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WYMAGANIA DODATKOWE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70FE86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E1168D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2AD7B9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1215D4D0" w14:textId="77777777">
        <w:trPr>
          <w:cantSplit/>
          <w:trHeight w:val="830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FCD917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212EAE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Aplikacja na telefon komórkowy, która umożliwia operatorowi konsoli chirurgicznej na wgląd do danych zabiegu np.: czasu konsolowego, użytych narzędzi chirurgicznych - z możliwością porównania czasu konsolowego z danymi światowymi.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08B58E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29FB73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A05627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73DD0A43" w14:textId="77777777">
        <w:trPr>
          <w:cantSplit/>
          <w:trHeight w:val="853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91DD57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8E55221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Możliwość dostarczenia dodatkowej konsoli chirurgicznej w procesie edukacji, która będzie posiadała możliwość integracji z zakupionym systemem chirurgii robotycznej  – na wskazany przez Zamawiającego zabieg chirurgiczny (termin dostawy i odbioru do ustalenia przez obie strony).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8CC20A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FCAB77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4A9FB1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01C0DD54" w14:textId="77777777">
        <w:trPr>
          <w:cantSplit/>
          <w:trHeight w:val="417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DFAFB1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63DCCF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Aktualizacja software systemu chirurgii robotycznej poprzez łącze internetowe.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1AE44A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B4DBCD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611720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315FE9AD" w14:textId="77777777">
        <w:trPr>
          <w:cantSplit/>
          <w:trHeight w:val="606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F7838E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7EC696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Możliwość mycia i dezynfekcji poszczególnych elementów aparatów w oparciu o przedstawione przez wykonawcę zalecane preparaty myjące i dezynfekujące.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955DD5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73D7918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5B307C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67340B3B" w14:textId="77777777">
        <w:trPr>
          <w:cantSplit/>
          <w:trHeight w:val="404"/>
        </w:trPr>
        <w:tc>
          <w:tcPr>
            <w:tcW w:w="85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946983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bookmarkStart w:id="6" w:name="_heading=h.yti0sxblwm2q" w:colFirst="0" w:colLast="0"/>
            <w:bookmarkEnd w:id="6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Inne wymagania</w:t>
            </w: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A0B45D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F96F2F" w14:paraId="2AE8F5FB" w14:textId="77777777">
        <w:trPr>
          <w:cantSplit/>
          <w:trHeight w:val="333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9FC028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59BA3AF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Instrukcja obsługi przedmiotu oferty w języku polskim (1szt. papierowa dostarczona wraz dostawą).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E352A8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E6C7F5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91BC14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5AF786C9" w14:textId="77777777">
        <w:trPr>
          <w:cantSplit/>
          <w:trHeight w:val="657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3156D4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DCE924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Instrukcja konserwacji, mycia, dezynfekcji i sterylizacji w języku polskim (1szt. papierowa dostarczona wraz dostawą).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E8FA05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CC7A0A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72C4DF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5A5D4D77" w14:textId="77777777">
        <w:trPr>
          <w:cantSplit/>
          <w:trHeight w:val="333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4FABCE3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2D3193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Deklaracja(e) zgodności CE.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AD39777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667983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5079CB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27490ABA" w14:textId="77777777">
        <w:trPr>
          <w:cantSplit/>
          <w:trHeight w:val="610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71BDA6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8566F7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Oświadczamy, że przedmiot oferty jest kompletny i będzie gotowy do pracy zgodnie z instrukcją obsługi bez żadnych dodatkowych zakupów.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CBED84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063CE5A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F00DAA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16C989E2" w14:textId="77777777">
        <w:trPr>
          <w:cantSplit/>
          <w:trHeight w:val="549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2D3E7D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C30EBD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Dostawca zobowiązuje się do:</w:t>
            </w:r>
          </w:p>
          <w:p w14:paraId="68192D84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 dokonania instalacji we wskazanym miejscu przez Zamawiającego.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F41E63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3E71FD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A7CF53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58F11564" w14:textId="77777777">
        <w:trPr>
          <w:cantSplit/>
          <w:trHeight w:val="844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BB57B3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205B7F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Dostawca zobowiązuje się do:</w:t>
            </w:r>
          </w:p>
          <w:p w14:paraId="5662FF70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 dokonania szkolenia w zakresie obsługi robota chirurgicznego dla pracowników technicznych.</w:t>
            </w:r>
          </w:p>
          <w:p w14:paraId="2EEE3F89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 dokonania szkolenia w zakresie konserwacji, mycia, dezynfekcji i sterylizacji narzędzi wykorzystywanych do robota chirurgicznego.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082811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4F5B79E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91FF05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4799DB2C" w14:textId="77777777">
        <w:trPr>
          <w:cantSplit/>
          <w:trHeight w:val="604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CE8E79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3C818A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Dostawca zobowiązuje się do dokonania szkolenia podstawowego obsługowego w miejscu instalacji po odbiorze sprzętu w terminie wskazanym przez Zamawiającego  – dotyczy robota chirurgicznego.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424CD9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8ADFC5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B77897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62ED75D4" w14:textId="77777777">
        <w:trPr>
          <w:cantSplit/>
          <w:trHeight w:val="1131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7A082A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9823A7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Dostawca zobowiązuje się do dokonania szkolenia rozszerzonego dla personelu medycznego z zakresu obsługi urządzenia  (robota chirurgicznego).</w:t>
            </w:r>
          </w:p>
          <w:p w14:paraId="4F9C82D3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Szkolenia zorganizowane  dla 4 zespołów (skład zespołu: operator i asystent).</w:t>
            </w:r>
          </w:p>
          <w:p w14:paraId="4253CB98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Szkolenia będą odbywać się po odbiorze sprzętu w terminach wskazanych przez Zamawiającego.</w:t>
            </w:r>
          </w:p>
          <w:p w14:paraId="23B65220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Obszary kliniczne szkolenia:</w:t>
            </w:r>
          </w:p>
          <w:p w14:paraId="2479492D" w14:textId="77777777" w:rsidR="00F96F2F" w:rsidRDefault="00000000">
            <w:pPr>
              <w:widowControl w:val="0"/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urologia / chirurgia ogólna</w:t>
            </w:r>
          </w:p>
          <w:p w14:paraId="5BF91BFD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W  razie potrzeby Zamawiającego możliwość wsparcia aplikacyjnego w czasie gwarancji.</w:t>
            </w:r>
          </w:p>
          <w:p w14:paraId="7EB38E2D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Wykonawca dostarczy kopię certyfikatów z  zakończonego szkolenia do sekcji zakupu sprzętu medycznego.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62494F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A34A5E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68DCDA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2E9E85C1" w14:textId="77777777">
        <w:trPr>
          <w:cantSplit/>
          <w:trHeight w:val="288"/>
        </w:trPr>
        <w:tc>
          <w:tcPr>
            <w:tcW w:w="85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CE2FAA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Warunki gwarancji i serwisu</w:t>
            </w: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076AF1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F96F2F" w14:paraId="1141FC93" w14:textId="77777777">
        <w:trPr>
          <w:cantSplit/>
          <w:trHeight w:val="275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7E0DAA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DEF05A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Autoryzowany serwis na terenie Polski.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BB76C02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6B77538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18E624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1BC9A057" w14:textId="77777777">
        <w:trPr>
          <w:cantSplit/>
          <w:trHeight w:val="1099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8352DE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0EE2B7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bookmarkStart w:id="7" w:name="_heading=h.6k17sxfe76je" w:colFirst="0" w:colLast="0"/>
            <w:bookmarkEnd w:id="7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Możliwość dostępu przez zespół kliniczny do pomocy technicznej robota chirurgicznego w wymiarze 24/7, również w czasie wykonywanego zabiegu. Kontakt z pomocą techniczną producenta poprzez łącze telefoniczne z możliwością diagnostyki serwisowej online przez chronione łącze systemu chirurgii robotycznej, również w czasie wykonywania zabiegu.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1C7F0B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428670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2C4E6F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7CC9DFB7" w14:textId="77777777">
        <w:trPr>
          <w:cantSplit/>
          <w:trHeight w:val="1018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18DCEF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E08C0F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Zdalna diagnostyka przez chronione łącze z możliwością rejestracji i odczytu online rejestrów błędów przez lokalnych ( krajowych) certyfikowanych inżynierów serwisowych, oraz monitorowaniem systemu (uwaga – całość ewentualnych prac i wyposażenia sprzętowego, które będzie służyło tej funkcjonalności po stronie wykonawcy).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6A0BBB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50D2DC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B61829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146E9247" w14:textId="77777777">
        <w:trPr>
          <w:cantSplit/>
          <w:trHeight w:val="505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987560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DBD47E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Czas reakcji na zgłoszenie usterki - do 24 godzin w dni robocze rozumiane jako dni od poniedziałku do piątku, z wyłączeniem dni ustawowo wolnych od pracy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73BFD7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935B52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2325D1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5FC6D1F7" w14:textId="77777777">
        <w:trPr>
          <w:cantSplit/>
          <w:trHeight w:val="342"/>
        </w:trPr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0EE6EFA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246E13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Czas skutecznej naprawy bez użycia części zamiennych licząc od momenty zgłoszenia awarii - max 3 dni robocze rozumiane jako dni od poniedziałku do piątku, z wyłączeniem dni ustawowo wolnych od pracy</w:t>
            </w:r>
          </w:p>
        </w:tc>
        <w:tc>
          <w:tcPr>
            <w:tcW w:w="1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9F8F1E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A423EEE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74D973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434B5EDC" w14:textId="77777777">
        <w:trPr>
          <w:cantSplit/>
          <w:trHeight w:val="565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71CB9E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9D52E6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Czas skutecznej naprawy z użyciem części zamiennych licząc od momentu zgłoszenia awarii - max 7 dni roboczych rozumiane jako dni od poniedziałku do piątku, z wyłączeniem dni ustawowo wolnych od pracy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822DFA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82AA34A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C73510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2BEEC2E5" w14:textId="77777777">
        <w:trPr>
          <w:cantSplit/>
          <w:trHeight w:val="284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D82F2AB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A44E4E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Godziny i sposób przyjmowania zgłoszeń o awariach.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5CEB6A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TAK, podać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4C01C9F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16D4CE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777C4E64" w14:textId="77777777">
        <w:trPr>
          <w:cantSplit/>
          <w:trHeight w:val="849"/>
        </w:trPr>
        <w:tc>
          <w:tcPr>
            <w:tcW w:w="4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B79FCA" w14:textId="77777777" w:rsidR="00F96F2F" w:rsidRDefault="00F96F2F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5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79BEA1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Dostawca zobowiązany jest do wykonania obowiązkowych przeglądów technicznych w okresie obowiązywania gwarancji bez dodatkowej zapłaty, zgodnie z harmonogramem wymaganym przez producenta, ostatni z tych przeglądów w ostatnim miesiącu obowiązywania gwarancji.</w:t>
            </w:r>
          </w:p>
        </w:tc>
        <w:tc>
          <w:tcPr>
            <w:tcW w:w="1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9313CF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83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6BDD91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1FD6B3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14:paraId="76D84977" w14:textId="77777777" w:rsidR="00F96F2F" w:rsidRDefault="00F96F2F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Times New Roman" w:eastAsia="Times New Roman" w:hAnsi="Times New Roman" w:cs="Times New Roman"/>
          <w:b/>
          <w:bCs/>
          <w:color w:val="000000"/>
        </w:rPr>
      </w:pPr>
    </w:p>
    <w:p w14:paraId="628743CD" w14:textId="77777777" w:rsidR="00F96F2F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240"/>
      </w:pPr>
      <w:r>
        <w:rPr>
          <w:b/>
          <w:bCs/>
          <w:color w:val="000000"/>
          <w:sz w:val="24"/>
          <w:szCs w:val="24"/>
        </w:rPr>
        <w:t>Uniwersalny stół operacyjny do chirurgii precyzyjnej  z wyposażeniem. - 1 kpl</w:t>
      </w:r>
    </w:p>
    <w:tbl>
      <w:tblPr>
        <w:tblStyle w:val="a1"/>
        <w:tblW w:w="1034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572"/>
        <w:gridCol w:w="2536"/>
        <w:gridCol w:w="7233"/>
      </w:tblGrid>
      <w:tr w:rsidR="00F96F2F" w14:paraId="25260B16" w14:textId="77777777">
        <w:trPr>
          <w:trHeight w:val="340"/>
        </w:trPr>
        <w:tc>
          <w:tcPr>
            <w:tcW w:w="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7A410D20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both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L.p.</w:t>
            </w:r>
          </w:p>
        </w:tc>
        <w:tc>
          <w:tcPr>
            <w:tcW w:w="2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2CA175EB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Dane podstawowe</w:t>
            </w:r>
          </w:p>
        </w:tc>
        <w:tc>
          <w:tcPr>
            <w:tcW w:w="7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4935846C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Wpisać</w:t>
            </w:r>
          </w:p>
        </w:tc>
      </w:tr>
      <w:tr w:rsidR="00F96F2F" w14:paraId="0887E237" w14:textId="77777777">
        <w:trPr>
          <w:trHeight w:val="340"/>
        </w:trPr>
        <w:tc>
          <w:tcPr>
            <w:tcW w:w="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3F841B64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1.</w:t>
            </w:r>
          </w:p>
        </w:tc>
        <w:tc>
          <w:tcPr>
            <w:tcW w:w="2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4A1BA158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Producent</w:t>
            </w:r>
          </w:p>
        </w:tc>
        <w:tc>
          <w:tcPr>
            <w:tcW w:w="7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21099AE4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F96F2F" w14:paraId="6CEDD191" w14:textId="77777777">
        <w:trPr>
          <w:trHeight w:val="449"/>
        </w:trPr>
        <w:tc>
          <w:tcPr>
            <w:tcW w:w="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5FFE1319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2.</w:t>
            </w:r>
          </w:p>
        </w:tc>
        <w:tc>
          <w:tcPr>
            <w:tcW w:w="2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312F8BFC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Kraj produkcji</w:t>
            </w:r>
          </w:p>
        </w:tc>
        <w:tc>
          <w:tcPr>
            <w:tcW w:w="7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081A1D97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F96F2F" w14:paraId="6D5868EB" w14:textId="77777777">
        <w:trPr>
          <w:trHeight w:val="444"/>
        </w:trPr>
        <w:tc>
          <w:tcPr>
            <w:tcW w:w="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7A8D8BDA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3.</w:t>
            </w:r>
          </w:p>
        </w:tc>
        <w:tc>
          <w:tcPr>
            <w:tcW w:w="2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233B24DB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Nazwa, model, typ</w:t>
            </w:r>
          </w:p>
        </w:tc>
        <w:tc>
          <w:tcPr>
            <w:tcW w:w="7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</w:tcPr>
          <w:p w14:paraId="2F01A65F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73BDFA7A" w14:textId="77777777" w:rsidR="00F96F2F" w:rsidRDefault="00F96F2F">
      <w:pPr>
        <w:pBdr>
          <w:top w:val="nil"/>
          <w:left w:val="nil"/>
          <w:bottom w:val="nil"/>
          <w:right w:val="nil"/>
          <w:between w:val="nil"/>
        </w:pBdr>
        <w:spacing w:after="240"/>
        <w:ind w:left="720"/>
        <w:rPr>
          <w:rFonts w:ascii="Times New Roman" w:eastAsia="Times New Roman" w:hAnsi="Times New Roman" w:cs="Times New Roman"/>
          <w:b/>
          <w:bCs/>
          <w:color w:val="000000"/>
        </w:rPr>
      </w:pPr>
    </w:p>
    <w:tbl>
      <w:tblPr>
        <w:tblStyle w:val="a2"/>
        <w:tblW w:w="10092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561"/>
        <w:gridCol w:w="4106"/>
        <w:gridCol w:w="2507"/>
        <w:gridCol w:w="1556"/>
        <w:gridCol w:w="1362"/>
      </w:tblGrid>
      <w:tr w:rsidR="00F96F2F" w14:paraId="433EA9D9" w14:textId="77777777">
        <w:trPr>
          <w:cantSplit/>
          <w:trHeight w:val="146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3F04F1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  <w:p w14:paraId="3EAD7DAC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Lp.</w:t>
            </w:r>
          </w:p>
        </w:tc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BB0D72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Opis parametrów</w:t>
            </w:r>
          </w:p>
        </w:tc>
        <w:tc>
          <w:tcPr>
            <w:tcW w:w="2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2FF9FB6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Wymagane wartości graniczne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39EE607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Punktacja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EB7D5F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Parametry, wartości ,  dane techniczne</w:t>
            </w:r>
          </w:p>
          <w:p w14:paraId="223595C2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(wypełnia Wykonawca</w:t>
            </w:r>
          </w:p>
          <w:p w14:paraId="7CBEEAB2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poprzez wpisanie słowa „TAK”/„ NIE”  lub podaje wymaganą informację)</w:t>
            </w:r>
          </w:p>
        </w:tc>
      </w:tr>
      <w:tr w:rsidR="00F96F2F" w14:paraId="4B05185A" w14:textId="77777777">
        <w:trPr>
          <w:cantSplit/>
          <w:trHeight w:val="288"/>
        </w:trPr>
        <w:tc>
          <w:tcPr>
            <w:tcW w:w="87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06B4FC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Minimalne parametry ogólne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5A0881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F96F2F" w14:paraId="4D9DD701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840638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EF5DCB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Uniwersalny stół operacyjny, segmentowy do chirurgii precyzyjnej (chirurgia ogólna i urologiczna)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EE3194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F0C5EC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E5A953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6DA65187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4E12E3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D3759EB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Sprzęt fabrycznie nowy, nieużywany, nie powystawowy.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8162D7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1B99D1B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CD0E30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293375ED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0929F42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F45A27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Podpora ręki, minimum 2 szt.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0336655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E98E65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085F0E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21CB1C64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3FD6C5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A1F1CF5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Podpory pod barki do ułożeń Trendelenburga,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6A6B13B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E9F02F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B02D6B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0B68D03E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0CFCDA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54CE679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Ramka anestezjologiczna,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32A167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66A032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1C6558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2BF5658B" w14:textId="77777777">
        <w:trPr>
          <w:cantSplit/>
          <w:trHeight w:val="474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0983F5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183901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Segment urologiczno-ginekologiczny z przystawką urologiczna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4F9D87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5B066E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128141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4BA21DBC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45518D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E564FB5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Podpory nóg regulowane na sprężynie gazowej,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3CC984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0BB16F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A2B90E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06346963" w14:textId="77777777" w:rsidTr="00D95F79">
        <w:trPr>
          <w:cantSplit/>
          <w:trHeight w:val="76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5B925C" w14:textId="77777777" w:rsidR="00F96F2F" w:rsidRPr="00D95F79" w:rsidRDefault="00F96F2F" w:rsidP="00D95F79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50A9DD3" w14:textId="01D23E07" w:rsidR="00F96F2F" w:rsidRPr="001D58D8" w:rsidRDefault="001D58D8" w:rsidP="001D58D8">
            <w:pPr>
              <w:widowControl w:val="0"/>
              <w:jc w:val="both"/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</w:pPr>
            <w:r w:rsidRPr="001D58D8"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  <w:t>Przystawka do artroskopii barku z kompletną podpórką ręki osadzoną na trójprzegubowym ramieniu nastawnym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3558FA7" w14:textId="3F445EB2" w:rsidR="00F96F2F" w:rsidRDefault="00D95F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74D801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8F6C23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667E28D5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3BBB94F" w14:textId="77777777" w:rsidR="00F96F2F" w:rsidRPr="00D95F79" w:rsidRDefault="00F96F2F" w:rsidP="00D95F79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C0C3F8" w14:textId="77777777" w:rsidR="00F96F2F" w:rsidRPr="0018535D" w:rsidRDefault="00000000" w:rsidP="0018535D">
            <w:pPr>
              <w:widowControl w:val="0"/>
              <w:jc w:val="both"/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</w:pPr>
            <w:r w:rsidRPr="0018535D"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  <w:t>wózek do transportu akcesoriów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52AEABE" w14:textId="1F22E163" w:rsidR="00F96F2F" w:rsidRDefault="00D95F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A7C595C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7CEC33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77745726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F15816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5CCFC44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Materac próżniowy z matą antypoślizgową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F67FFC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98EB18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7FDDFF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326277BE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405300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FBD0D20" w14:textId="6E0356A0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Materace </w:t>
            </w:r>
            <w:r>
              <w:rPr>
                <w:color w:val="000000"/>
              </w:rPr>
              <w:t>b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ezszwowe, przeciwodleżynowe, zdejmowane, grubość min 80 mm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AD7492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5DC6C0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9E990D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0EE80003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987CC8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F7C672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FF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Wieszak kroplówki </w:t>
            </w:r>
            <w:r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  <w:t>2 sztuki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684C953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2C3AAF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D43AFE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37E68F50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5552F7B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00B6AF5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Uniwersalny pozycjoner głowy,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1131AC9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F76C6F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07A8E0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482FDC6E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314C628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F02BB0E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Pas do mocowania pacjenta z regulacją długości min 1 szt.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CEEFB6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CEFB0C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81E4B6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2320F4C4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283848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5041791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Zaciski mocujåce kompatybilne ze stołem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0907CB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7CC2CD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49F3F7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21E957F6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5AD939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24C2744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Napęd stołu w zakresie regulacji wysokości oraz blokowania/odblokowywania podstawy stołu do podłoża.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8B2117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812A7A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4749DC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3AB5F3C3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E04672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FB413B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Blokada podstawy stołu – blokowanie i odblokowywanie podstawy do podłoża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70248A8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AA0ECE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06AA0A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3067EF4B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155472B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F9839D3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Regulacja wysokości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EF4193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B369DD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F1055F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324B5069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53EBA9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4847CF3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Stół wyposażony w zasilanie akumulatorowe i sieciowe.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BA45DA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16924A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F6EF69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02D2D632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5887A4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5585A98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Blat segmentowy stołu wyposażony w materace bezszwowe o właściwościach przeciwodleżynowych, zdejmowane o grubości min. 80 mm.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986603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8E7767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877CFD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65BB574A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6FFF4C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CA1FD38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Blat przezierny dla promieniowania RTG na całej długości stołu, bez metalowych szyn poprzecznych.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7C52CA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580FC8D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65A016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4D65CE09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108FEB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6E02A4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Stół wyposażony w system mocowania komponentów blatu w kształcie haków wyposażony w sensory rozpoznające zamontowany element i jego długość.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C680002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D50992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DCEC67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1BA1B99A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59E05F6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A578E47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Obsługa funkcji stołu za pomocą pilota przewodowego.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BFA0072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0F020A2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20AD35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10AAFAFF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59F947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4BCD256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System zapobiegający kolizjom segmentów z podłożem lub kolumną.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DE1A43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5A26131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77815F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2AAABEB3" w14:textId="77777777">
        <w:trPr>
          <w:cantSplit/>
          <w:trHeight w:val="417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6BC841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EE2141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Stolik do instrumentów chirurgicznych, 3 szt.</w:t>
            </w:r>
          </w:p>
        </w:tc>
        <w:tc>
          <w:tcPr>
            <w:tcW w:w="2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7EAAEE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705104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E0D726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F3AEF" w:rsidRPr="008F3AEF" w14:paraId="6939F058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629019" w14:textId="77777777" w:rsidR="00F96F2F" w:rsidRPr="008F3AE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3EFC54" w14:textId="77777777" w:rsidR="00F96F2F" w:rsidRPr="008F3AE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EE0000"/>
              </w:rPr>
            </w:pPr>
            <w:r w:rsidRPr="008F3AEF"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  <w:t>Stolik typu MAYO do instrumentów chirurgicznych, 2 szt.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62F610" w14:textId="77777777" w:rsidR="00F96F2F" w:rsidRPr="008F3AE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EE0000"/>
              </w:rPr>
            </w:pPr>
            <w:r w:rsidRPr="008F3AEF"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868B99" w14:textId="77777777" w:rsidR="00F96F2F" w:rsidRPr="008F3AE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A62081" w14:textId="77777777" w:rsidR="00F96F2F" w:rsidRPr="008F3AE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</w:pPr>
          </w:p>
        </w:tc>
      </w:tr>
      <w:tr w:rsidR="008F3AEF" w:rsidRPr="008F3AEF" w14:paraId="23EC1DA8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C646FE" w14:textId="77777777" w:rsidR="00F96F2F" w:rsidRPr="008F3AE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9E751C" w14:textId="77777777" w:rsidR="00F96F2F" w:rsidRPr="008F3AE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EE0000"/>
              </w:rPr>
            </w:pPr>
            <w:r w:rsidRPr="008F3AEF"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  <w:t>Wózek medyczny to transportu akcesoriów i narzędzi, 1 szt.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4FF904F" w14:textId="77777777" w:rsidR="00F96F2F" w:rsidRPr="008F3AE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EE0000"/>
              </w:rPr>
            </w:pPr>
            <w:r w:rsidRPr="008F3AEF"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4FF811" w14:textId="77777777" w:rsidR="00F96F2F" w:rsidRPr="008F3AE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ECAE6B" w14:textId="77777777" w:rsidR="00F96F2F" w:rsidRPr="008F3AE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</w:pPr>
          </w:p>
        </w:tc>
      </w:tr>
      <w:tr w:rsidR="00F96F2F" w14:paraId="50F353DE" w14:textId="77777777" w:rsidTr="00B504DF">
        <w:trPr>
          <w:cantSplit/>
          <w:trHeight w:val="1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3A8741" w14:textId="77777777" w:rsidR="00F96F2F" w:rsidRPr="008F3AEF" w:rsidRDefault="00F96F2F" w:rsidP="008F3AE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4639E8E" w14:textId="77777777" w:rsidR="00F96F2F" w:rsidRPr="00B504DF" w:rsidRDefault="00000000" w:rsidP="00B504DF">
            <w:pPr>
              <w:widowControl w:val="0"/>
              <w:jc w:val="both"/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</w:pPr>
            <w:r w:rsidRPr="00B504DF"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  <w:t>System szycia tkankowego</w:t>
            </w:r>
          </w:p>
          <w:p w14:paraId="293D3BA4" w14:textId="77777777" w:rsidR="00F96F2F" w:rsidRPr="00B504DF" w:rsidRDefault="00000000" w:rsidP="00B504DF">
            <w:pPr>
              <w:widowControl w:val="0"/>
              <w:numPr>
                <w:ilvl w:val="0"/>
                <w:numId w:val="1"/>
              </w:numPr>
              <w:jc w:val="both"/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</w:pPr>
            <w:r w:rsidRPr="00B504DF"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  <w:t xml:space="preserve">Zestaw końcówek do szycia tkanki miękkiej w różnych konfiguracjach </w:t>
            </w:r>
          </w:p>
          <w:p w14:paraId="2D25BD53" w14:textId="77777777" w:rsidR="00F96F2F" w:rsidRPr="00B504DF" w:rsidRDefault="00000000" w:rsidP="00B504DF">
            <w:pPr>
              <w:widowControl w:val="0"/>
              <w:numPr>
                <w:ilvl w:val="0"/>
                <w:numId w:val="1"/>
              </w:numPr>
              <w:jc w:val="both"/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</w:pPr>
            <w:r w:rsidRPr="00B504DF"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  <w:t>Narzędzie wielorazowe do obsługi systemu</w:t>
            </w:r>
          </w:p>
          <w:p w14:paraId="440F2CEC" w14:textId="1EF4C87D" w:rsidR="00F96F2F" w:rsidRPr="00B504DF" w:rsidRDefault="00000000" w:rsidP="00B504DF">
            <w:pPr>
              <w:widowControl w:val="0"/>
              <w:numPr>
                <w:ilvl w:val="0"/>
                <w:numId w:val="1"/>
              </w:numPr>
              <w:jc w:val="both"/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</w:pPr>
            <w:r w:rsidRPr="00B504DF"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  <w:t>Kaseta do przechowywania narzędzi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3B38E5" w14:textId="2B2A6A1C" w:rsidR="00F96F2F" w:rsidRDefault="00B504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F3AEF">
              <w:rPr>
                <w:rFonts w:ascii="Times New Roman" w:eastAsia="Times New Roman" w:hAnsi="Times New Roman" w:cs="Times New Roman"/>
                <w:color w:val="EE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0276E5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97F088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452C8136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E549E9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513673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Wyrób medyczny oznakowany znakiem CE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A2CC91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8EBB02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A8F785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5C51794D" w14:textId="77777777">
        <w:trPr>
          <w:cantSplit/>
          <w:trHeight w:val="417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765C191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5BFC66B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Instrukcja obsługi w języku polskim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2BE28B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39EC917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951B9E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15339B94" w14:textId="77777777">
        <w:trPr>
          <w:cantSplit/>
          <w:trHeight w:val="288"/>
        </w:trPr>
        <w:tc>
          <w:tcPr>
            <w:tcW w:w="87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A77762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Warunki gwarancji i serwisu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9BC077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F96F2F" w14:paraId="72FD9FA8" w14:textId="77777777">
        <w:trPr>
          <w:cantSplit/>
          <w:trHeight w:val="275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E44A77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099EEF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Autoryzowany serwis na terenie Polski.</w:t>
            </w:r>
          </w:p>
        </w:tc>
        <w:tc>
          <w:tcPr>
            <w:tcW w:w="2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22F949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C243C8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AF1676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3CB2EA99" w14:textId="77777777">
        <w:trPr>
          <w:cantSplit/>
          <w:trHeight w:val="505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E2D45D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F9AFA7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Czas reakcji na zgłoszenie usterki - do 24 godzin w dni robocze rozumiane jako dni od poniedziałku do piątku, z wyłączeniem dni ustawowo wolnych od pracy</w:t>
            </w:r>
          </w:p>
        </w:tc>
        <w:tc>
          <w:tcPr>
            <w:tcW w:w="2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D47886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20AB3C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55EEB2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191C1BEE" w14:textId="77777777">
        <w:trPr>
          <w:cantSplit/>
          <w:trHeight w:val="342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DEB172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84A2F4B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Czas skutecznej naprawy bez użycia części zamiennych licząc od momenty zgłoszenia awarii - max 3 dni robocze rozumiane jako dni od poniedziałku do piątku, z wyłączeniem dni ustawowo wolnych od pracy</w:t>
            </w:r>
          </w:p>
        </w:tc>
        <w:tc>
          <w:tcPr>
            <w:tcW w:w="2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10511A8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A8349D2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B3FDCA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0A2C8E70" w14:textId="77777777">
        <w:trPr>
          <w:cantSplit/>
          <w:trHeight w:val="565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668425D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8C6DFDF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Czas skutecznej naprawy z użyciem części zamiennych licząc od momentu zgłoszenia awarii - max 7 dni roboczych rozumiane jako dni od poniedziałku do piątku, z wyłączeniem dni ustawowo wolnych od pracy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87520B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2633648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262A2C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23787AC7" w14:textId="77777777">
        <w:trPr>
          <w:cantSplit/>
          <w:trHeight w:val="253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6117DB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9DD1D1A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Godziny i sposób przyjmowania zgłoszeń o awariach.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2B2418B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TAK, podać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8935D5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E2F908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96F2F" w14:paraId="71B41588" w14:textId="77777777">
        <w:trPr>
          <w:cantSplit/>
          <w:trHeight w:val="849"/>
        </w:trPr>
        <w:tc>
          <w:tcPr>
            <w:tcW w:w="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0AFA16" w14:textId="77777777" w:rsidR="00F96F2F" w:rsidRDefault="00F96F2F">
            <w:pPr>
              <w:widowControl w:val="0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-398" w:firstLine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1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028F702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Dostawca zobowiązany jest do wykonania obowiązkowych przeglądów technicznych w okresie obowiązywania gwarancji bez dodatkowej zapłaty, zgodnie z harmonogramem wymaganym przez producenta, ostatni z tych przeglądów w ostatnim miesiącu obowiązywania gwarancji.</w:t>
            </w:r>
          </w:p>
        </w:tc>
        <w:tc>
          <w:tcPr>
            <w:tcW w:w="25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98D979" w14:textId="77777777" w:rsidR="00F96F2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TAK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DBD751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E00888" w14:textId="77777777" w:rsidR="00F96F2F" w:rsidRDefault="00F96F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14:paraId="24AAF13A" w14:textId="77777777" w:rsidR="00F96F2F" w:rsidRDefault="00F96F2F">
      <w:pPr>
        <w:pBdr>
          <w:top w:val="nil"/>
          <w:left w:val="nil"/>
          <w:bottom w:val="nil"/>
          <w:right w:val="nil"/>
          <w:between w:val="nil"/>
        </w:pBdr>
        <w:spacing w:after="240"/>
        <w:ind w:left="720"/>
        <w:rPr>
          <w:rFonts w:ascii="Times New Roman" w:eastAsia="Times New Roman" w:hAnsi="Times New Roman" w:cs="Times New Roman"/>
          <w:b/>
          <w:bCs/>
          <w:color w:val="000000"/>
        </w:rPr>
      </w:pPr>
    </w:p>
    <w:p w14:paraId="4CF50A6C" w14:textId="77777777" w:rsidR="00F96F2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40" w:after="160" w:line="254" w:lineRule="auto"/>
        <w:ind w:right="117"/>
        <w:rPr>
          <w:color w:val="000000"/>
        </w:rPr>
      </w:pPr>
      <w:r>
        <w:rPr>
          <w:color w:val="000000"/>
        </w:rPr>
        <w:t xml:space="preserve">Parametry określone przez Zamawiającego w kolumnie „Parametr wymagany” słowem </w:t>
      </w:r>
      <w:r>
        <w:rPr>
          <w:b/>
          <w:bCs/>
          <w:color w:val="000000"/>
        </w:rPr>
        <w:t>Tak</w:t>
      </w:r>
      <w:r>
        <w:rPr>
          <w:color w:val="000000"/>
        </w:rPr>
        <w:t xml:space="preserve"> są bezwzględnie wymagane.</w:t>
      </w:r>
    </w:p>
    <w:p w14:paraId="6F9DAE98" w14:textId="77777777" w:rsidR="00F96F2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60" w:line="254" w:lineRule="auto"/>
        <w:ind w:right="117"/>
        <w:rPr>
          <w:color w:val="000000"/>
        </w:rPr>
      </w:pPr>
      <w:r>
        <w:rPr>
          <w:color w:val="000000"/>
        </w:rPr>
        <w:t xml:space="preserve">Parametry określone przez Zamawiającego w kolumnie „Parametr wymagany” słowem </w:t>
      </w:r>
      <w:r>
        <w:rPr>
          <w:b/>
          <w:bCs/>
          <w:color w:val="000000"/>
        </w:rPr>
        <w:t>Tak,</w:t>
      </w:r>
      <w:r>
        <w:rPr>
          <w:color w:val="000000"/>
        </w:rPr>
        <w:t xml:space="preserve">  </w:t>
      </w:r>
      <w:r>
        <w:rPr>
          <w:b/>
          <w:bCs/>
          <w:color w:val="000000"/>
        </w:rPr>
        <w:t xml:space="preserve">podać </w:t>
      </w:r>
      <w:r>
        <w:rPr>
          <w:color w:val="000000"/>
        </w:rPr>
        <w:t>są bezwzględnie wymagane i wymagają dodatkowego opisu.</w:t>
      </w:r>
    </w:p>
    <w:p w14:paraId="0F3FE380" w14:textId="77777777" w:rsidR="00F96F2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200" w:line="276" w:lineRule="auto"/>
        <w:rPr>
          <w:color w:val="000000"/>
        </w:rPr>
      </w:pPr>
      <w:r>
        <w:rPr>
          <w:b/>
          <w:bCs/>
          <w:color w:val="000000"/>
        </w:rPr>
        <w:t>Nie wypełnienie tabeli parametrów wymagalnych lub jej nie dołączenie do oferty spowoduje odrzucenie oferty.</w:t>
      </w:r>
    </w:p>
    <w:p w14:paraId="210756BB" w14:textId="77777777" w:rsidR="00F96F2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708"/>
        </w:tabs>
        <w:spacing w:after="200" w:line="276" w:lineRule="auto"/>
        <w:rPr>
          <w:color w:val="000000"/>
        </w:rPr>
      </w:pPr>
      <w:r>
        <w:rPr>
          <w:color w:val="000000"/>
        </w:rPr>
        <w:t>W przypadku nie załączenia wraz z ofertą dokumentów potwierdzających spełnienie parametrów ocenianych – jako kryterium oceny ofert, skutkować będzie  przyznaniem 0 punktów za parametr oceniany w „kryterium jakości”.</w:t>
      </w:r>
    </w:p>
    <w:p w14:paraId="31970460" w14:textId="77777777" w:rsidR="00F96F2F" w:rsidRDefault="00F96F2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200" w:line="254" w:lineRule="auto"/>
        <w:rPr>
          <w:color w:val="000000"/>
        </w:rPr>
      </w:pPr>
    </w:p>
    <w:p w14:paraId="098F9272" w14:textId="77777777" w:rsidR="00F96F2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200" w:line="254" w:lineRule="auto"/>
        <w:ind w:left="5760" w:firstLine="720"/>
        <w:rPr>
          <w:color w:val="000000"/>
        </w:rPr>
      </w:pPr>
      <w:r>
        <w:rPr>
          <w:color w:val="000000"/>
        </w:rPr>
        <w:t>……………………………………………………</w:t>
      </w:r>
    </w:p>
    <w:p w14:paraId="63F1E266" w14:textId="77777777" w:rsidR="00F96F2F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4248" w:firstLine="708"/>
        <w:jc w:val="center"/>
        <w:rPr>
          <w:color w:val="000000"/>
        </w:rPr>
      </w:pPr>
      <w:r>
        <w:rPr>
          <w:color w:val="000000"/>
        </w:rPr>
        <w:t>Pieczęć i podpis osoby uprawnionej do reprezentowania</w:t>
      </w:r>
    </w:p>
    <w:p w14:paraId="51874BBB" w14:textId="77777777" w:rsidR="00F96F2F" w:rsidRDefault="00F96F2F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sectPr w:rsidR="00F96F2F">
      <w:headerReference w:type="default" r:id="rId8"/>
      <w:footerReference w:type="default" r:id="rId9"/>
      <w:pgSz w:w="11906" w:h="16838"/>
      <w:pgMar w:top="567" w:right="701" w:bottom="454" w:left="851" w:header="289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8E508E" w14:textId="77777777" w:rsidR="002509FC" w:rsidRDefault="002509FC">
      <w:r>
        <w:separator/>
      </w:r>
    </w:p>
  </w:endnote>
  <w:endnote w:type="continuationSeparator" w:id="0">
    <w:p w14:paraId="3F9B1246" w14:textId="77777777" w:rsidR="002509FC" w:rsidRDefault="002509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B6CBEAE4-059F-4201-B91F-E5054319B6C4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3228A956-D5ED-48D3-A6BB-86294C8DA40A}"/>
    <w:embedBold r:id="rId3" w:fontKey="{329D436C-DD7F-41A3-98B8-A8DFE3329B48}"/>
    <w:embedBoldItalic r:id="rId4" w:fontKey="{577B697C-4A19-4D86-B8C0-9CB469F045D8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6F76B22C-F839-417A-9B65-0AE5341CA2B0}"/>
    <w:embedBold r:id="rId6" w:fontKey="{BCEDB4D6-6657-43F7-B3FB-175A6D761B6F}"/>
    <w:embedItalic r:id="rId7" w:fontKey="{7BC43A86-A906-44BE-95BE-665FF9CAE4B8}"/>
  </w:font>
  <w:font w:name="F">
    <w:charset w:val="00"/>
    <w:family w:val="auto"/>
    <w:pitch w:val="variable"/>
  </w:font>
  <w:font w:name="Liberation Sans">
    <w:altName w:val="Arial"/>
    <w:charset w:val="EE"/>
    <w:family w:val="swiss"/>
    <w:pitch w:val="variable"/>
    <w:sig w:usb0="E0000AFF" w:usb1="500078FF" w:usb2="00000021" w:usb3="00000000" w:csb0="000001BF" w:csb1="00000000"/>
  </w:font>
  <w:font w:name="Linux Libertine G">
    <w:charset w:val="00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8" w:fontKey="{6DBAFACF-50AE-4E16-A88C-E7DB6FB743AA}"/>
    <w:embedItalic r:id="rId9" w:fontKey="{0D0FE4E4-0C2C-481E-9446-3A1FAAC07A15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0" w:fontKey="{46FC13A9-8EC1-4BF5-BEDA-97A218BBF602}"/>
  </w:font>
  <w:font w:name="MS Sans Serif">
    <w:panose1 w:val="00000000000000000000"/>
    <w:charset w:val="00"/>
    <w:family w:val="auto"/>
    <w:notTrueType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  <w:embedRegular r:id="rId11" w:fontKey="{5C1EED4F-4867-4C76-B4C0-32968A93EE64}"/>
    <w:embedBold r:id="rId12" w:fontKey="{92966AA5-CA91-4872-82C9-0CEF55EEDECE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3" w:fontKey="{930E600B-E849-41C3-A218-23B3547702E8}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  <w:embedRegular r:id="rId14" w:fontKey="{6AC65E50-5807-4929-9E3F-A9CF98211AB6}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15" w:fontKey="{47077FEE-71B6-4970-B4D7-46790C254FB3}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  <w:embedBold r:id="rId16" w:fontKey="{631124D6-8EC3-4D35-A14F-6B92372294EC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, Calibri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7" w:fontKey="{DF5C7C49-B3C8-4BF8-9B32-2E10C89F78D0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8" w:fontKey="{27821336-AC77-4A97-8C8D-DDE6A16176E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3DD0E0" w14:textId="77777777" w:rsidR="00F96F2F" w:rsidRDefault="00000000">
    <w:pPr>
      <w:pBdr>
        <w:top w:val="single" w:sz="4" w:space="1" w:color="D9D9D9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200" w:line="276" w:lineRule="auto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492F5D">
      <w:rPr>
        <w:noProof/>
        <w:color w:val="000000"/>
      </w:rPr>
      <w:t>1</w:t>
    </w:r>
    <w:r>
      <w:rPr>
        <w:color w:val="000000"/>
      </w:rPr>
      <w:fldChar w:fldCharType="end"/>
    </w:r>
    <w:r>
      <w:rPr>
        <w:b/>
        <w:bCs/>
        <w:color w:val="000000"/>
      </w:rPr>
      <w:t xml:space="preserve"> | </w:t>
    </w:r>
    <w:r>
      <w:rPr>
        <w:color w:val="7F7F7F"/>
      </w:rPr>
      <w:t>Strona</w:t>
    </w:r>
  </w:p>
  <w:p w14:paraId="3283143E" w14:textId="77777777" w:rsidR="00F96F2F" w:rsidRDefault="00F96F2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200" w:line="276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464A81" w14:textId="77777777" w:rsidR="002509FC" w:rsidRDefault="002509FC">
      <w:r>
        <w:separator/>
      </w:r>
    </w:p>
  </w:footnote>
  <w:footnote w:type="continuationSeparator" w:id="0">
    <w:p w14:paraId="27EC58AE" w14:textId="77777777" w:rsidR="002509FC" w:rsidRDefault="002509F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9A5AD9" w14:textId="77777777" w:rsidR="00F96F2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200" w:line="276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6E4BF67" wp14:editId="608F84D8">
          <wp:extent cx="6803958" cy="883767"/>
          <wp:effectExtent l="0" t="0" r="0" b="0"/>
          <wp:docPr id="53862417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803958" cy="88376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FE360E"/>
    <w:multiLevelType w:val="multilevel"/>
    <w:tmpl w:val="E496E28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1C0161"/>
    <w:multiLevelType w:val="multilevel"/>
    <w:tmpl w:val="0CF0B640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527C6F"/>
    <w:multiLevelType w:val="multilevel"/>
    <w:tmpl w:val="DD6AB406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211289"/>
    <w:multiLevelType w:val="multilevel"/>
    <w:tmpl w:val="84D8D6A4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0C2225F1"/>
    <w:multiLevelType w:val="multilevel"/>
    <w:tmpl w:val="815C25E8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4292C97"/>
    <w:multiLevelType w:val="multilevel"/>
    <w:tmpl w:val="8BF8189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BD2F4E"/>
    <w:multiLevelType w:val="multilevel"/>
    <w:tmpl w:val="FFB68D7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E360F7"/>
    <w:multiLevelType w:val="multilevel"/>
    <w:tmpl w:val="6A6ADC4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D7550C5"/>
    <w:multiLevelType w:val="multilevel"/>
    <w:tmpl w:val="A3F6C02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4516847"/>
    <w:multiLevelType w:val="multilevel"/>
    <w:tmpl w:val="6F42BAC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722403"/>
    <w:multiLevelType w:val="multilevel"/>
    <w:tmpl w:val="73F4D2A8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33BE3195"/>
    <w:multiLevelType w:val="multilevel"/>
    <w:tmpl w:val="BE681340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392632EF"/>
    <w:multiLevelType w:val="multilevel"/>
    <w:tmpl w:val="64568EB2"/>
    <w:lvl w:ilvl="0">
      <w:start w:val="1"/>
      <w:numFmt w:val="decimal"/>
      <w:lvlText w:val="%1."/>
      <w:lvlJc w:val="left"/>
      <w:pPr>
        <w:ind w:left="851" w:hanging="284"/>
      </w:pPr>
      <w:rPr>
        <w:rFonts w:ascii="Times New Roman" w:eastAsia="Times New Roman" w:hAnsi="Times New Roman" w:cs="Times New Roman"/>
        <w:b w:val="0"/>
        <w:bCs w:val="0"/>
        <w:i w:val="0"/>
        <w:iCs w:val="0"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1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1" w:hanging="180"/>
      </w:pPr>
    </w:lvl>
  </w:abstractNum>
  <w:abstractNum w:abstractNumId="13" w15:restartNumberingAfterBreak="0">
    <w:nsid w:val="3C1E78E2"/>
    <w:multiLevelType w:val="multilevel"/>
    <w:tmpl w:val="9B10542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4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3FF14342"/>
    <w:multiLevelType w:val="multilevel"/>
    <w:tmpl w:val="DB002EC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7B1EC1"/>
    <w:multiLevelType w:val="multilevel"/>
    <w:tmpl w:val="F33A7870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◦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2"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◦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5"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◦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8"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468825C4"/>
    <w:multiLevelType w:val="multilevel"/>
    <w:tmpl w:val="09960CC2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52012B66"/>
    <w:multiLevelType w:val="multilevel"/>
    <w:tmpl w:val="2052726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51428D6"/>
    <w:multiLevelType w:val="multilevel"/>
    <w:tmpl w:val="895AC1C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6E1A67"/>
    <w:multiLevelType w:val="multilevel"/>
    <w:tmpl w:val="50BE0052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55EE4B4B"/>
    <w:multiLevelType w:val="multilevel"/>
    <w:tmpl w:val="693ED178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5D7D5790"/>
    <w:multiLevelType w:val="multilevel"/>
    <w:tmpl w:val="FC74A39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608171A1"/>
    <w:multiLevelType w:val="multilevel"/>
    <w:tmpl w:val="F0160B16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628026A3"/>
    <w:multiLevelType w:val="multilevel"/>
    <w:tmpl w:val="FEA6EDEC"/>
    <w:lvl w:ilvl="0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B196439"/>
    <w:multiLevelType w:val="multilevel"/>
    <w:tmpl w:val="402AD914"/>
    <w:lvl w:ilvl="0">
      <w:start w:val="1"/>
      <w:numFmt w:val="decimal"/>
      <w:lvlText w:val="%1."/>
      <w:lvlJc w:val="left"/>
      <w:pPr>
        <w:ind w:left="851" w:hanging="284"/>
      </w:pPr>
      <w:rPr>
        <w:rFonts w:ascii="Times New Roman" w:eastAsia="Times New Roman" w:hAnsi="Times New Roman" w:cs="Times New Roman"/>
        <w:b w:val="0"/>
        <w:bCs w:val="0"/>
        <w:i w:val="0"/>
        <w:iCs w:val="0"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1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1" w:hanging="180"/>
      </w:pPr>
    </w:lvl>
  </w:abstractNum>
  <w:abstractNum w:abstractNumId="25" w15:restartNumberingAfterBreak="0">
    <w:nsid w:val="6E655727"/>
    <w:multiLevelType w:val="multilevel"/>
    <w:tmpl w:val="536A9DE0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◦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2"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◦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5"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◦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8"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</w:abstractNum>
  <w:abstractNum w:abstractNumId="26" w15:restartNumberingAfterBreak="0">
    <w:nsid w:val="7E9E4DDB"/>
    <w:multiLevelType w:val="multilevel"/>
    <w:tmpl w:val="3F0AF114"/>
    <w:lvl w:ilvl="0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FA81A38"/>
    <w:multiLevelType w:val="multilevel"/>
    <w:tmpl w:val="3B127796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2137602293">
    <w:abstractNumId w:val="21"/>
  </w:num>
  <w:num w:numId="2" w16cid:durableId="784034660">
    <w:abstractNumId w:val="27"/>
  </w:num>
  <w:num w:numId="3" w16cid:durableId="301468573">
    <w:abstractNumId w:val="15"/>
  </w:num>
  <w:num w:numId="4" w16cid:durableId="1863468979">
    <w:abstractNumId w:val="16"/>
  </w:num>
  <w:num w:numId="5" w16cid:durableId="477309098">
    <w:abstractNumId w:val="19"/>
  </w:num>
  <w:num w:numId="6" w16cid:durableId="1933465311">
    <w:abstractNumId w:val="8"/>
  </w:num>
  <w:num w:numId="7" w16cid:durableId="1871256520">
    <w:abstractNumId w:val="13"/>
  </w:num>
  <w:num w:numId="8" w16cid:durableId="56323620">
    <w:abstractNumId w:val="12"/>
  </w:num>
  <w:num w:numId="9" w16cid:durableId="1238787581">
    <w:abstractNumId w:val="22"/>
  </w:num>
  <w:num w:numId="10" w16cid:durableId="1867520731">
    <w:abstractNumId w:val="4"/>
  </w:num>
  <w:num w:numId="11" w16cid:durableId="1241982501">
    <w:abstractNumId w:val="3"/>
  </w:num>
  <w:num w:numId="12" w16cid:durableId="1000039212">
    <w:abstractNumId w:val="5"/>
  </w:num>
  <w:num w:numId="13" w16cid:durableId="947274533">
    <w:abstractNumId w:val="18"/>
  </w:num>
  <w:num w:numId="14" w16cid:durableId="876356948">
    <w:abstractNumId w:val="6"/>
  </w:num>
  <w:num w:numId="15" w16cid:durableId="1951937761">
    <w:abstractNumId w:val="9"/>
  </w:num>
  <w:num w:numId="16" w16cid:durableId="477655275">
    <w:abstractNumId w:val="17"/>
  </w:num>
  <w:num w:numId="17" w16cid:durableId="702483348">
    <w:abstractNumId w:val="14"/>
  </w:num>
  <w:num w:numId="18" w16cid:durableId="1915241341">
    <w:abstractNumId w:val="1"/>
  </w:num>
  <w:num w:numId="19" w16cid:durableId="509758375">
    <w:abstractNumId w:val="7"/>
  </w:num>
  <w:num w:numId="20" w16cid:durableId="1375543204">
    <w:abstractNumId w:val="11"/>
  </w:num>
  <w:num w:numId="21" w16cid:durableId="1773621583">
    <w:abstractNumId w:val="0"/>
  </w:num>
  <w:num w:numId="22" w16cid:durableId="414282728">
    <w:abstractNumId w:val="2"/>
  </w:num>
  <w:num w:numId="23" w16cid:durableId="523131903">
    <w:abstractNumId w:val="23"/>
  </w:num>
  <w:num w:numId="24" w16cid:durableId="1253969489">
    <w:abstractNumId w:val="20"/>
  </w:num>
  <w:num w:numId="25" w16cid:durableId="1820804105">
    <w:abstractNumId w:val="26"/>
  </w:num>
  <w:num w:numId="26" w16cid:durableId="239292623">
    <w:abstractNumId w:val="25"/>
  </w:num>
  <w:num w:numId="27" w16cid:durableId="2022006601">
    <w:abstractNumId w:val="10"/>
  </w:num>
  <w:num w:numId="28" w16cid:durableId="1892036278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6F2F"/>
    <w:rsid w:val="0018535D"/>
    <w:rsid w:val="001D58D8"/>
    <w:rsid w:val="002509FC"/>
    <w:rsid w:val="00492F5D"/>
    <w:rsid w:val="008F3AEF"/>
    <w:rsid w:val="00B504DF"/>
    <w:rsid w:val="00B53326"/>
    <w:rsid w:val="00D95F79"/>
    <w:rsid w:val="00DC42E6"/>
    <w:rsid w:val="00DD3456"/>
    <w:rsid w:val="00F96F2F"/>
    <w:rsid w:val="00FC6F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5FF434"/>
  <w15:docId w15:val="{91AB79DF-C6F2-4891-85C2-371C3FB261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/>
      <w:outlineLvl w:val="0"/>
    </w:pPr>
    <w:rPr>
      <w:rFonts w:ascii="Cambria" w:eastAsia="Cambria" w:hAnsi="Cambria" w:cs="Cambria"/>
      <w:b/>
      <w:bCs/>
      <w:color w:val="366091"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200"/>
      <w:outlineLvl w:val="1"/>
    </w:pPr>
    <w:rPr>
      <w:rFonts w:ascii="Cambria" w:eastAsia="Cambria" w:hAnsi="Cambria" w:cs="Cambria"/>
      <w:b/>
      <w:bCs/>
      <w:color w:val="4F81BD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jc w:val="center"/>
      <w:outlineLvl w:val="2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spacing w:before="240" w:after="60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40"/>
      <w:outlineLvl w:val="4"/>
    </w:pPr>
    <w:rPr>
      <w:rFonts w:ascii="Cambria" w:eastAsia="Cambria" w:hAnsi="Cambria" w:cs="Cambria"/>
      <w:color w:val="36609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spacing w:before="240" w:after="60"/>
      <w:jc w:val="both"/>
      <w:outlineLvl w:val="5"/>
    </w:pPr>
    <w:rPr>
      <w:rFonts w:ascii="Times New Roman" w:eastAsia="Times New Roman" w:hAnsi="Times New Roman" w:cs="Times New Roman"/>
      <w:b/>
      <w:bCs/>
    </w:rPr>
  </w:style>
  <w:style w:type="paragraph" w:styleId="Nagwek7">
    <w:name w:val="heading 7"/>
    <w:basedOn w:val="Heading"/>
    <w:pPr>
      <w:keepLines/>
      <w:spacing w:before="200" w:after="0"/>
      <w:outlineLvl w:val="6"/>
    </w:pPr>
    <w:rPr>
      <w:rFonts w:ascii="Cambria" w:eastAsia="F" w:hAnsi="Cambria" w:cs="F"/>
      <w:i/>
      <w:iCs/>
      <w:color w:val="404040"/>
    </w:rPr>
  </w:style>
  <w:style w:type="paragraph" w:styleId="Nagwek8">
    <w:name w:val="heading 8"/>
    <w:basedOn w:val="Heading"/>
    <w:pPr>
      <w:spacing w:after="0" w:line="240" w:lineRule="auto"/>
      <w:jc w:val="right"/>
      <w:outlineLvl w:val="7"/>
    </w:pPr>
    <w:rPr>
      <w:rFonts w:ascii="Times New Roman" w:eastAsia="Times New Roman" w:hAnsi="Times New Roman" w:cs="Times New Roman"/>
      <w:b/>
      <w:bCs/>
      <w:szCs w:val="20"/>
    </w:rPr>
  </w:style>
  <w:style w:type="paragraph" w:styleId="Nagwek9">
    <w:name w:val="heading 9"/>
    <w:basedOn w:val="Heading"/>
    <w:pPr>
      <w:spacing w:after="0" w:line="360" w:lineRule="atLeast"/>
      <w:outlineLvl w:val="8"/>
    </w:pPr>
    <w:rPr>
      <w:rFonts w:ascii="Times New Roman" w:eastAsia="Times New Roman" w:hAnsi="Times New Roman" w:cs="Times New Roman"/>
      <w:b/>
      <w:sz w:val="26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pBdr>
        <w:bottom w:val="single" w:sz="8" w:space="4" w:color="2DA2BF"/>
      </w:pBdr>
      <w:spacing w:after="300"/>
    </w:pPr>
    <w:rPr>
      <w:rFonts w:ascii="Cambria" w:eastAsia="Cambria" w:hAnsi="Cambria" w:cs="Cambria"/>
      <w:color w:val="343434"/>
      <w:sz w:val="52"/>
      <w:szCs w:val="52"/>
    </w:rPr>
  </w:style>
  <w:style w:type="paragraph" w:customStyle="1" w:styleId="Standard">
    <w:name w:val="Standard"/>
    <w:pPr>
      <w:spacing w:after="200" w:line="276" w:lineRule="auto"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Liberation Sans" w:eastAsia="Linux Libertine G" w:hAnsi="Liberation Sans" w:cs="Linux Libertine G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pPr>
      <w:spacing w:line="240" w:lineRule="auto"/>
    </w:pPr>
    <w:rPr>
      <w:rFonts w:ascii="Times New Roman" w:eastAsia="Arial Unicode MS" w:hAnsi="Times New Roman" w:cs="Arial Unicode MS"/>
      <w:kern w:val="3"/>
      <w:sz w:val="24"/>
      <w:szCs w:val="24"/>
      <w:lang w:eastAsia="hi-IN"/>
    </w:rPr>
  </w:style>
  <w:style w:type="paragraph" w:styleId="Legenda">
    <w:name w:val="caption"/>
    <w:pPr>
      <w:shd w:val="clear" w:color="auto" w:fill="FFFFFF"/>
      <w:tabs>
        <w:tab w:val="left" w:pos="638"/>
      </w:tabs>
      <w:spacing w:after="60"/>
    </w:pPr>
    <w:rPr>
      <w:rFonts w:ascii="Arial" w:eastAsia="Times New Roman" w:hAnsi="Arial" w:cs="Arial"/>
      <w:b/>
      <w:bCs/>
      <w:sz w:val="16"/>
      <w:szCs w:val="24"/>
    </w:rPr>
  </w:style>
  <w:style w:type="paragraph" w:customStyle="1" w:styleId="Index">
    <w:name w:val="Index"/>
    <w:basedOn w:val="Standard"/>
    <w:pPr>
      <w:suppressLineNumbers/>
    </w:pPr>
    <w:rPr>
      <w:sz w:val="24"/>
    </w:rPr>
  </w:style>
  <w:style w:type="paragraph" w:styleId="Nagwek">
    <w:name w:val="header"/>
    <w:basedOn w:val="Standard"/>
    <w:pPr>
      <w:tabs>
        <w:tab w:val="center" w:pos="4536"/>
        <w:tab w:val="right" w:pos="9072"/>
      </w:tabs>
    </w:pPr>
  </w:style>
  <w:style w:type="paragraph" w:styleId="Stopka">
    <w:name w:val="footer"/>
    <w:basedOn w:val="Standard"/>
    <w:pPr>
      <w:tabs>
        <w:tab w:val="center" w:pos="4536"/>
        <w:tab w:val="right" w:pos="9072"/>
      </w:tabs>
    </w:pPr>
  </w:style>
  <w:style w:type="paragraph" w:styleId="Bezodstpw">
    <w:name w:val="No Spacing"/>
  </w:style>
  <w:style w:type="paragraph" w:customStyle="1" w:styleId="Standarduser">
    <w:name w:val="Standard (user)"/>
    <w:rPr>
      <w:rFonts w:ascii="Times New Roman" w:eastAsia="Arial Unicode MS" w:hAnsi="Times New Roman" w:cs="Tahoma"/>
      <w:kern w:val="3"/>
      <w:sz w:val="24"/>
      <w:szCs w:val="24"/>
    </w:rPr>
  </w:style>
  <w:style w:type="paragraph" w:customStyle="1" w:styleId="Teksttreci">
    <w:name w:val="Tekst treści"/>
    <w:pPr>
      <w:shd w:val="clear" w:color="auto" w:fill="FFFFFF"/>
      <w:spacing w:line="240" w:lineRule="exact"/>
      <w:ind w:hanging="800"/>
      <w:jc w:val="center"/>
    </w:pPr>
    <w:rPr>
      <w:rFonts w:ascii="Verdana" w:eastAsia="Verdana" w:hAnsi="Verdana" w:cs="Verdana"/>
      <w:sz w:val="20"/>
      <w:szCs w:val="20"/>
    </w:rPr>
  </w:style>
  <w:style w:type="paragraph" w:styleId="Tekstkomentarza">
    <w:name w:val="annotation text"/>
    <w:rPr>
      <w:rFonts w:cs="Times New Roman"/>
      <w:sz w:val="20"/>
      <w:szCs w:val="20"/>
    </w:rPr>
  </w:style>
  <w:style w:type="paragraph" w:styleId="Tematkomentarza">
    <w:name w:val="annotation subject"/>
    <w:basedOn w:val="Tekstkomentarza"/>
    <w:rPr>
      <w:b/>
      <w:bCs/>
    </w:rPr>
  </w:style>
  <w:style w:type="paragraph" w:styleId="Tekstdymka">
    <w:name w:val="Balloon Text"/>
    <w:rPr>
      <w:rFonts w:ascii="Tahoma" w:eastAsia="Tahoma" w:hAnsi="Tahoma" w:cs="Tahoma"/>
      <w:sz w:val="16"/>
      <w:szCs w:val="16"/>
    </w:rPr>
  </w:style>
  <w:style w:type="paragraph" w:styleId="Akapitzlist">
    <w:name w:val="List Paragraph"/>
    <w:pPr>
      <w:ind w:left="7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ndnote">
    <w:name w:val="Endnote"/>
    <w:basedOn w:val="Standard"/>
    <w:pPr>
      <w:spacing w:after="0" w:line="240" w:lineRule="auto"/>
    </w:pPr>
    <w:rPr>
      <w:sz w:val="20"/>
      <w:szCs w:val="20"/>
    </w:rPr>
  </w:style>
  <w:style w:type="paragraph" w:customStyle="1" w:styleId="ODNONIKtreodnonika">
    <w:name w:val="ODNOŚNIK – treść odnośnika"/>
    <w:pPr>
      <w:ind w:left="284" w:hanging="284"/>
      <w:jc w:val="both"/>
    </w:pPr>
    <w:rPr>
      <w:rFonts w:ascii="Times New Roman" w:eastAsia="Times New Roman" w:hAnsi="Times New Roman" w:cs="Arial"/>
      <w:sz w:val="20"/>
      <w:szCs w:val="20"/>
    </w:rPr>
  </w:style>
  <w:style w:type="paragraph" w:customStyle="1" w:styleId="Default">
    <w:name w:val="Default"/>
    <w:rPr>
      <w:color w:val="000000"/>
      <w:sz w:val="24"/>
      <w:szCs w:val="24"/>
    </w:rPr>
  </w:style>
  <w:style w:type="paragraph" w:customStyle="1" w:styleId="Akapitzlist1">
    <w:name w:val="Akapit z listą1"/>
    <w:pPr>
      <w:ind w:left="720"/>
    </w:pPr>
    <w:rPr>
      <w:rFonts w:eastAsia="Times New Roman" w:cs="Times New Roman"/>
      <w:lang w:eastAsia="ar-SA"/>
    </w:rPr>
  </w:style>
  <w:style w:type="paragraph" w:customStyle="1" w:styleId="Footnote">
    <w:name w:val="Footnote"/>
    <w:basedOn w:val="Standard"/>
    <w:pPr>
      <w:spacing w:after="0" w:line="240" w:lineRule="auto"/>
    </w:pPr>
    <w:rPr>
      <w:rFonts w:ascii="MS Sans Serif" w:eastAsia="SimSun" w:hAnsi="MS Sans Serif" w:cs="MS Sans Serif"/>
      <w:sz w:val="20"/>
      <w:szCs w:val="20"/>
    </w:rPr>
  </w:style>
  <w:style w:type="paragraph" w:styleId="Tekstpodstawowy3">
    <w:name w:val="Body Text 3"/>
    <w:pPr>
      <w:tabs>
        <w:tab w:val="left" w:pos="426"/>
        <w:tab w:val="left" w:pos="850"/>
      </w:tabs>
      <w:snapToGrid w:val="0"/>
      <w:jc w:val="both"/>
    </w:pPr>
    <w:rPr>
      <w:rFonts w:ascii="Times New Roman" w:eastAsia="Times New Roman" w:hAnsi="Times New Roman" w:cs="Times New Roman"/>
      <w:b/>
      <w:sz w:val="23"/>
      <w:szCs w:val="24"/>
    </w:rPr>
  </w:style>
  <w:style w:type="paragraph" w:styleId="Tekstpodstawowywcity3">
    <w:name w:val="Body Text Indent 3"/>
    <w:pPr>
      <w:spacing w:after="120"/>
      <w:ind w:left="283"/>
    </w:pPr>
    <w:rPr>
      <w:sz w:val="16"/>
      <w:szCs w:val="16"/>
    </w:rPr>
  </w:style>
  <w:style w:type="paragraph" w:styleId="Tekstblokowy">
    <w:name w:val="Block Text"/>
    <w:pPr>
      <w:shd w:val="clear" w:color="auto" w:fill="FFFFFF"/>
      <w:spacing w:before="91"/>
      <w:ind w:left="542" w:right="422" w:hanging="542"/>
    </w:pPr>
    <w:rPr>
      <w:rFonts w:ascii="Times New Roman" w:eastAsia="Times New Roman" w:hAnsi="Times New Roman" w:cs="Times New Roman"/>
      <w:color w:val="000000"/>
      <w:w w:val="90"/>
      <w:sz w:val="24"/>
      <w:szCs w:val="24"/>
    </w:rPr>
  </w:style>
  <w:style w:type="paragraph" w:customStyle="1" w:styleId="Textbodyindent">
    <w:name w:val="Text body indent"/>
    <w:basedOn w:val="Textbody"/>
    <w:pPr>
      <w:ind w:left="283"/>
    </w:pPr>
  </w:style>
  <w:style w:type="paragraph" w:styleId="Tekstpodstawowy2">
    <w:name w:val="Body Text 2"/>
    <w:pPr>
      <w:spacing w:after="120" w:line="480" w:lineRule="auto"/>
    </w:pPr>
  </w:style>
  <w:style w:type="paragraph" w:customStyle="1" w:styleId="NormalBold">
    <w:name w:val="NormalBold"/>
    <w:rPr>
      <w:rFonts w:ascii="Times New Roman" w:eastAsia="Times New Roman" w:hAnsi="Times New Roman" w:cs="Times New Roman"/>
      <w:b/>
      <w:sz w:val="24"/>
      <w:lang w:eastAsia="en-GB"/>
    </w:rPr>
  </w:style>
  <w:style w:type="paragraph" w:customStyle="1" w:styleId="Text1">
    <w:name w:val="Text 1"/>
    <w:pPr>
      <w:spacing w:before="120" w:after="120"/>
      <w:ind w:left="850"/>
      <w:jc w:val="both"/>
    </w:pPr>
    <w:rPr>
      <w:rFonts w:ascii="Times New Roman" w:hAnsi="Times New Roman" w:cs="Times New Roman"/>
      <w:sz w:val="24"/>
      <w:lang w:eastAsia="en-GB"/>
    </w:rPr>
  </w:style>
  <w:style w:type="paragraph" w:customStyle="1" w:styleId="NormalLeft">
    <w:name w:val="Normal Left"/>
    <w:pPr>
      <w:spacing w:before="120" w:after="120"/>
    </w:pPr>
    <w:rPr>
      <w:rFonts w:ascii="Times New Roman" w:hAnsi="Times New Roman" w:cs="Times New Roman"/>
      <w:sz w:val="24"/>
      <w:lang w:eastAsia="en-GB"/>
    </w:rPr>
  </w:style>
  <w:style w:type="paragraph" w:customStyle="1" w:styleId="Tiret0">
    <w:name w:val="Tiret 0"/>
    <w:pPr>
      <w:spacing w:before="120" w:after="120"/>
      <w:jc w:val="both"/>
    </w:pPr>
    <w:rPr>
      <w:rFonts w:ascii="Times New Roman" w:hAnsi="Times New Roman" w:cs="Times New Roman"/>
      <w:sz w:val="24"/>
      <w:lang w:eastAsia="en-GB"/>
    </w:rPr>
  </w:style>
  <w:style w:type="paragraph" w:customStyle="1" w:styleId="Tiret1">
    <w:name w:val="Tiret 1"/>
    <w:pPr>
      <w:spacing w:before="120" w:after="120"/>
      <w:jc w:val="both"/>
    </w:pPr>
    <w:rPr>
      <w:rFonts w:ascii="Times New Roman" w:hAnsi="Times New Roman" w:cs="Times New Roman"/>
      <w:sz w:val="24"/>
      <w:lang w:eastAsia="en-GB"/>
    </w:rPr>
  </w:style>
  <w:style w:type="paragraph" w:customStyle="1" w:styleId="NumPar1">
    <w:name w:val="NumPar 1"/>
    <w:pPr>
      <w:spacing w:before="120" w:after="120"/>
      <w:jc w:val="both"/>
    </w:pPr>
    <w:rPr>
      <w:rFonts w:ascii="Times New Roman" w:hAnsi="Times New Roman" w:cs="Times New Roman"/>
      <w:sz w:val="24"/>
      <w:lang w:eastAsia="en-GB"/>
    </w:rPr>
  </w:style>
  <w:style w:type="paragraph" w:customStyle="1" w:styleId="NumPar2">
    <w:name w:val="NumPar 2"/>
    <w:pPr>
      <w:spacing w:before="120" w:after="120"/>
      <w:jc w:val="both"/>
    </w:pPr>
    <w:rPr>
      <w:rFonts w:ascii="Times New Roman" w:hAnsi="Times New Roman" w:cs="Times New Roman"/>
      <w:sz w:val="24"/>
      <w:lang w:eastAsia="en-GB"/>
    </w:rPr>
  </w:style>
  <w:style w:type="paragraph" w:customStyle="1" w:styleId="NumPar3">
    <w:name w:val="NumPar 3"/>
    <w:pPr>
      <w:spacing w:before="120" w:after="120"/>
      <w:jc w:val="both"/>
    </w:pPr>
    <w:rPr>
      <w:rFonts w:ascii="Times New Roman" w:hAnsi="Times New Roman" w:cs="Times New Roman"/>
      <w:sz w:val="24"/>
      <w:lang w:eastAsia="en-GB"/>
    </w:rPr>
  </w:style>
  <w:style w:type="paragraph" w:customStyle="1" w:styleId="NumPar4">
    <w:name w:val="NumPar 4"/>
    <w:pPr>
      <w:spacing w:before="120" w:after="120"/>
      <w:jc w:val="both"/>
    </w:pPr>
    <w:rPr>
      <w:rFonts w:ascii="Times New Roman" w:hAnsi="Times New Roman" w:cs="Times New Roman"/>
      <w:sz w:val="24"/>
      <w:lang w:eastAsia="en-GB"/>
    </w:rPr>
  </w:style>
  <w:style w:type="paragraph" w:customStyle="1" w:styleId="ChapterTitle">
    <w:name w:val="ChapterTitle"/>
    <w:pPr>
      <w:keepNext/>
      <w:spacing w:before="120" w:after="360"/>
      <w:jc w:val="center"/>
    </w:pPr>
    <w:rPr>
      <w:rFonts w:ascii="Times New Roman" w:hAnsi="Times New Roman" w:cs="Times New Roman"/>
      <w:b/>
      <w:sz w:val="32"/>
      <w:lang w:eastAsia="en-GB"/>
    </w:rPr>
  </w:style>
  <w:style w:type="paragraph" w:customStyle="1" w:styleId="SectionTitle">
    <w:name w:val="SectionTitle"/>
    <w:pPr>
      <w:keepNext/>
      <w:spacing w:before="120" w:after="360"/>
      <w:jc w:val="center"/>
    </w:pPr>
    <w:rPr>
      <w:rFonts w:ascii="Times New Roman" w:hAnsi="Times New Roman" w:cs="Times New Roman"/>
      <w:b/>
      <w:smallCaps/>
      <w:sz w:val="28"/>
      <w:lang w:eastAsia="en-GB"/>
    </w:rPr>
  </w:style>
  <w:style w:type="paragraph" w:customStyle="1" w:styleId="Annexetitre">
    <w:name w:val="Annexe titre"/>
    <w:pPr>
      <w:spacing w:before="120" w:after="120"/>
      <w:jc w:val="center"/>
    </w:pPr>
    <w:rPr>
      <w:rFonts w:ascii="Times New Roman" w:hAnsi="Times New Roman" w:cs="Times New Roman"/>
      <w:b/>
      <w:sz w:val="24"/>
      <w:u w:val="single"/>
      <w:lang w:eastAsia="en-GB"/>
    </w:rPr>
  </w:style>
  <w:style w:type="paragraph" w:styleId="Poprawka">
    <w:name w:val="Revision"/>
  </w:style>
  <w:style w:type="paragraph" w:customStyle="1" w:styleId="WW-Tekstpodstawowywcity3">
    <w:name w:val="WW-Tekst podstawowy wcięty 3"/>
    <w:pPr>
      <w:spacing w:line="360" w:lineRule="atLeast"/>
      <w:ind w:left="1276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BodyText21">
    <w:name w:val="Body Text 21"/>
    <w:pPr>
      <w:spacing w:line="360" w:lineRule="auto"/>
      <w:jc w:val="both"/>
    </w:pPr>
    <w:rPr>
      <w:rFonts w:ascii="Times New Roman" w:eastAsia="Times New Roman" w:hAnsi="Times New Roman" w:cs="Times New Roman"/>
      <w:b/>
      <w:sz w:val="24"/>
      <w:szCs w:val="20"/>
    </w:rPr>
  </w:style>
  <w:style w:type="paragraph" w:customStyle="1" w:styleId="Domyolnie">
    <w:name w:val="Domyolnie"/>
    <w:pPr>
      <w:ind w:left="800" w:hanging="360"/>
    </w:pPr>
    <w:rPr>
      <w:rFonts w:ascii="Times New Roman" w:eastAsia="Times New Roman" w:hAnsi="Times New Roman" w:cs="Times New Roman"/>
      <w:color w:val="000000"/>
      <w:sz w:val="24"/>
      <w:szCs w:val="20"/>
    </w:rPr>
  </w:style>
  <w:style w:type="paragraph" w:customStyle="1" w:styleId="Tekstpodstawowywcity21">
    <w:name w:val="Tekst podstawowy wcięty 21"/>
    <w:pPr>
      <w:ind w:firstLine="708"/>
    </w:pPr>
    <w:rPr>
      <w:rFonts w:ascii="Times New Roman" w:eastAsia="Times New Roman" w:hAnsi="Times New Roman" w:cs="Times New Roman"/>
      <w:lang w:eastAsia="ar-SA"/>
    </w:rPr>
  </w:style>
  <w:style w:type="paragraph" w:customStyle="1" w:styleId="Podpis1">
    <w:name w:val="Podpis1"/>
    <w:pPr>
      <w:suppressLineNumbers/>
      <w:spacing w:before="120" w:after="120"/>
    </w:pPr>
    <w:rPr>
      <w:rFonts w:ascii="Times New Roman" w:eastAsia="Arial Unicode MS" w:hAnsi="Times New Roman" w:cs="Arial Unicode MS"/>
      <w:i/>
      <w:iCs/>
      <w:kern w:val="3"/>
      <w:sz w:val="24"/>
      <w:szCs w:val="24"/>
      <w:lang w:eastAsia="hi-IN"/>
    </w:rPr>
  </w:style>
  <w:style w:type="paragraph" w:customStyle="1" w:styleId="Indeks">
    <w:name w:val="Indeks"/>
    <w:pPr>
      <w:suppressLineNumbers/>
    </w:pPr>
    <w:rPr>
      <w:rFonts w:ascii="Times New Roman" w:eastAsia="Arial Unicode MS" w:hAnsi="Times New Roman" w:cs="Arial Unicode MS"/>
      <w:kern w:val="3"/>
      <w:sz w:val="24"/>
      <w:szCs w:val="24"/>
      <w:lang w:eastAsia="hi-IN"/>
    </w:rPr>
  </w:style>
  <w:style w:type="paragraph" w:customStyle="1" w:styleId="Nagwek10">
    <w:name w:val="Nagłówek1"/>
    <w:pPr>
      <w:keepNext/>
      <w:spacing w:before="240" w:after="120"/>
    </w:pPr>
    <w:rPr>
      <w:rFonts w:ascii="Arial" w:eastAsia="Arial Unicode MS" w:hAnsi="Arial" w:cs="Arial Unicode MS"/>
      <w:kern w:val="3"/>
      <w:sz w:val="28"/>
      <w:szCs w:val="28"/>
      <w:lang w:eastAsia="hi-IN"/>
    </w:rPr>
  </w:style>
  <w:style w:type="paragraph" w:customStyle="1" w:styleId="Zawartotabeli">
    <w:name w:val="Zawartość tabeli"/>
    <w:pPr>
      <w:suppressLineNumbers/>
    </w:pPr>
    <w:rPr>
      <w:rFonts w:ascii="Times New Roman" w:eastAsia="Arial Unicode MS" w:hAnsi="Times New Roman" w:cs="Arial Unicode MS"/>
      <w:kern w:val="3"/>
      <w:sz w:val="24"/>
      <w:szCs w:val="24"/>
      <w:lang w:eastAsia="hi-IN"/>
    </w:r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customStyle="1" w:styleId="StandardowyStandardowy1">
    <w:name w:val="Standardowy.Standardowy1"/>
    <w:pPr>
      <w:spacing w:line="360" w:lineRule="atLeast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styleId="Tekstpodstawowywcity2">
    <w:name w:val="Body Text Indent 2"/>
    <w:pPr>
      <w:spacing w:line="360" w:lineRule="atLeast"/>
      <w:ind w:left="709"/>
      <w:jc w:val="both"/>
    </w:pPr>
    <w:rPr>
      <w:sz w:val="24"/>
    </w:rPr>
  </w:style>
  <w:style w:type="paragraph" w:styleId="NormalnyWeb">
    <w:name w:val="Normal (Web)"/>
    <w:pPr>
      <w:spacing w:before="280" w:after="280"/>
    </w:pPr>
    <w:rPr>
      <w:rFonts w:ascii="Times New Roman" w:eastAsia="Times New Roman" w:hAnsi="Times New Roman" w:cs="Times New Roman"/>
      <w:sz w:val="24"/>
      <w:szCs w:val="24"/>
    </w:rPr>
  </w:style>
  <w:style w:type="paragraph" w:styleId="Listapunktowana">
    <w:name w:val="List Bullet"/>
    <w:pPr>
      <w:jc w:val="both"/>
    </w:pPr>
    <w:rPr>
      <w:rFonts w:ascii="Tahoma" w:eastAsia="Times New Roman" w:hAnsi="Tahoma" w:cs="Times New Roman"/>
      <w:sz w:val="16"/>
      <w:szCs w:val="20"/>
      <w:lang w:val="fr-FR" w:eastAsia="fr-FR"/>
    </w:rPr>
  </w:style>
  <w:style w:type="paragraph" w:customStyle="1" w:styleId="Style1">
    <w:name w:val="Style1"/>
    <w:basedOn w:val="Listapunktowana"/>
    <w:pPr>
      <w:spacing w:before="120" w:after="20"/>
    </w:pPr>
    <w:rPr>
      <w:rFonts w:ascii="Book Antiqua" w:eastAsia="Book Antiqua" w:hAnsi="Book Antiqua" w:cs="Book Antiqua"/>
      <w:b/>
      <w:lang w:val="en-GB"/>
    </w:rPr>
  </w:style>
  <w:style w:type="paragraph" w:customStyle="1" w:styleId="Tekstkomentarza1">
    <w:name w:val="Tekst komentarza1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font5">
    <w:name w:val="font5"/>
    <w:pPr>
      <w:spacing w:before="280" w:after="280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Tekstpodstawowy21">
    <w:name w:val="Tekst podstawowy 21"/>
    <w:pPr>
      <w:spacing w:line="278" w:lineRule="auto"/>
    </w:pPr>
    <w:rPr>
      <w:rFonts w:ascii="Arial" w:eastAsia="Times New Roman" w:hAnsi="Arial" w:cs="Times New Roman"/>
      <w:i/>
      <w:sz w:val="20"/>
      <w:szCs w:val="20"/>
    </w:rPr>
  </w:style>
  <w:style w:type="paragraph" w:customStyle="1" w:styleId="AbsatzTableFormat">
    <w:name w:val="AbsatzTableFormat"/>
    <w:autoRedefine/>
    <w:rPr>
      <w:rFonts w:ascii="Tahoma" w:eastAsia="Times New Roman" w:hAnsi="Tahoma" w:cs="Tahoma"/>
      <w:i/>
      <w:sz w:val="16"/>
      <w:szCs w:val="16"/>
    </w:rPr>
  </w:style>
  <w:style w:type="paragraph" w:customStyle="1" w:styleId="WW-Tekstpodstawowy3">
    <w:name w:val="WW-Tekst podstawowy 3"/>
    <w:pPr>
      <w:jc w:val="both"/>
    </w:pPr>
    <w:rPr>
      <w:rFonts w:ascii="Times New Roman" w:eastAsia="Times New Roman" w:hAnsi="Times New Roman" w:cs="Times New Roman"/>
      <w:szCs w:val="20"/>
    </w:rPr>
  </w:style>
  <w:style w:type="paragraph" w:styleId="Mapadokumentu">
    <w:name w:val="Document Map"/>
    <w:rPr>
      <w:rFonts w:ascii="Tahoma" w:eastAsia="Times New Roman" w:hAnsi="Tahoma" w:cs="Tahoma"/>
      <w:sz w:val="16"/>
      <w:szCs w:val="16"/>
    </w:rPr>
  </w:style>
  <w:style w:type="paragraph" w:customStyle="1" w:styleId="Skrconyadreszwrotny">
    <w:name w:val="Skrócony adres zwrotny"/>
    <w:rPr>
      <w:rFonts w:ascii="Times New Roman" w:eastAsia="Times New Roman" w:hAnsi="Times New Roman" w:cs="Times New Roman"/>
      <w:sz w:val="24"/>
      <w:szCs w:val="20"/>
    </w:rPr>
  </w:style>
  <w:style w:type="paragraph" w:customStyle="1" w:styleId="Wcicietekstu">
    <w:name w:val="Wcięcie tekstu"/>
    <w:pPr>
      <w:ind w:left="284" w:hanging="284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Style36">
    <w:name w:val="Style36"/>
    <w:pPr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nt6">
    <w:name w:val="font6"/>
    <w:pPr>
      <w:spacing w:before="280" w:after="280"/>
    </w:pPr>
    <w:rPr>
      <w:rFonts w:ascii="Arial" w:eastAsia="Times New Roman" w:hAnsi="Arial" w:cs="Arial"/>
      <w:sz w:val="18"/>
      <w:szCs w:val="18"/>
    </w:rPr>
  </w:style>
  <w:style w:type="paragraph" w:customStyle="1" w:styleId="xl65">
    <w:name w:val="xl65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auto" w:fill="FFFF99"/>
      <w:spacing w:before="280" w:after="280"/>
      <w:jc w:val="center"/>
      <w:textAlignment w:val="center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xl66">
    <w:name w:val="xl66"/>
    <w:pPr>
      <w:spacing w:before="280" w:after="280"/>
      <w:jc w:val="center"/>
      <w:textAlignment w:val="center"/>
    </w:pPr>
    <w:rPr>
      <w:rFonts w:ascii="Arial" w:eastAsia="Times New Roman" w:hAnsi="Arial" w:cs="Arial"/>
      <w:color w:val="000000"/>
      <w:sz w:val="18"/>
      <w:szCs w:val="18"/>
    </w:rPr>
  </w:style>
  <w:style w:type="paragraph" w:customStyle="1" w:styleId="xl67">
    <w:name w:val="xl67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  <w:jc w:val="center"/>
      <w:textAlignment w:val="center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xl68">
    <w:name w:val="xl68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  <w:textAlignment w:val="center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xl69">
    <w:name w:val="xl69"/>
    <w:pPr>
      <w:spacing w:before="280" w:after="280"/>
      <w:textAlignment w:val="center"/>
    </w:pPr>
    <w:rPr>
      <w:rFonts w:ascii="Arial" w:eastAsia="Times New Roman" w:hAnsi="Arial" w:cs="Arial"/>
      <w:color w:val="000000"/>
      <w:sz w:val="18"/>
      <w:szCs w:val="18"/>
    </w:rPr>
  </w:style>
  <w:style w:type="paragraph" w:customStyle="1" w:styleId="xl70">
    <w:name w:val="xl70"/>
    <w:pPr>
      <w:spacing w:before="280" w:after="280"/>
      <w:jc w:val="center"/>
      <w:textAlignment w:val="center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xl71">
    <w:name w:val="xl7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  <w:textAlignment w:val="center"/>
    </w:pPr>
    <w:rPr>
      <w:rFonts w:ascii="Arial" w:eastAsia="Times New Roman" w:hAnsi="Arial" w:cs="Arial"/>
      <w:sz w:val="18"/>
      <w:szCs w:val="18"/>
    </w:rPr>
  </w:style>
  <w:style w:type="paragraph" w:customStyle="1" w:styleId="xl72">
    <w:name w:val="xl72"/>
    <w:pPr>
      <w:spacing w:before="280" w:after="280"/>
      <w:jc w:val="center"/>
      <w:textAlignment w:val="center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xl73">
    <w:name w:val="xl73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center"/>
    </w:pPr>
    <w:rPr>
      <w:rFonts w:ascii="Arial" w:eastAsia="Times New Roman" w:hAnsi="Arial" w:cs="Arial"/>
      <w:sz w:val="18"/>
      <w:szCs w:val="18"/>
    </w:rPr>
  </w:style>
  <w:style w:type="paragraph" w:customStyle="1" w:styleId="xl74">
    <w:name w:val="xl74"/>
    <w:pPr>
      <w:spacing w:before="280" w:after="280"/>
      <w:textAlignment w:val="center"/>
    </w:pPr>
    <w:rPr>
      <w:rFonts w:ascii="Arial" w:eastAsia="Times New Roman" w:hAnsi="Arial" w:cs="Arial"/>
      <w:color w:val="FF0000"/>
      <w:sz w:val="18"/>
      <w:szCs w:val="18"/>
    </w:rPr>
  </w:style>
  <w:style w:type="paragraph" w:customStyle="1" w:styleId="xl75">
    <w:name w:val="xl75"/>
    <w:pPr>
      <w:spacing w:before="280" w:after="280"/>
      <w:textAlignment w:val="center"/>
    </w:pPr>
    <w:rPr>
      <w:rFonts w:ascii="Arial" w:eastAsia="Times New Roman" w:hAnsi="Arial" w:cs="Arial"/>
      <w:sz w:val="18"/>
      <w:szCs w:val="18"/>
    </w:rPr>
  </w:style>
  <w:style w:type="paragraph" w:customStyle="1" w:styleId="xl76">
    <w:name w:val="xl76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center"/>
    </w:pPr>
    <w:rPr>
      <w:rFonts w:ascii="Arial" w:eastAsia="Times New Roman" w:hAnsi="Arial" w:cs="Arial"/>
      <w:sz w:val="18"/>
      <w:szCs w:val="18"/>
    </w:rPr>
  </w:style>
  <w:style w:type="paragraph" w:customStyle="1" w:styleId="xl77">
    <w:name w:val="xl77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</w:pPr>
    <w:rPr>
      <w:rFonts w:ascii="Arial" w:eastAsia="Times New Roman" w:hAnsi="Arial" w:cs="Arial"/>
      <w:color w:val="000000"/>
      <w:sz w:val="18"/>
      <w:szCs w:val="18"/>
    </w:rPr>
  </w:style>
  <w:style w:type="paragraph" w:customStyle="1" w:styleId="xl78">
    <w:name w:val="xl78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center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xl79">
    <w:name w:val="xl79"/>
    <w:pPr>
      <w:spacing w:before="280" w:after="280"/>
      <w:textAlignment w:val="center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xl80">
    <w:name w:val="xl80"/>
    <w:pPr>
      <w:spacing w:before="280" w:after="280"/>
      <w:jc w:val="center"/>
      <w:textAlignment w:val="center"/>
    </w:pPr>
    <w:rPr>
      <w:rFonts w:ascii="Arial" w:eastAsia="Times New Roman" w:hAnsi="Arial" w:cs="Arial"/>
      <w:sz w:val="18"/>
      <w:szCs w:val="18"/>
    </w:rPr>
  </w:style>
  <w:style w:type="paragraph" w:customStyle="1" w:styleId="xl81">
    <w:name w:val="xl8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center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xl82">
    <w:name w:val="xl82"/>
    <w:pPr>
      <w:spacing w:before="280" w:after="280"/>
      <w:textAlignment w:val="center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xl83">
    <w:name w:val="xl83"/>
    <w:pPr>
      <w:spacing w:before="280" w:after="280"/>
      <w:textAlignment w:val="center"/>
    </w:pPr>
    <w:rPr>
      <w:rFonts w:ascii="Arial" w:eastAsia="Times New Roman" w:hAnsi="Arial" w:cs="Arial"/>
      <w:sz w:val="18"/>
      <w:szCs w:val="18"/>
    </w:rPr>
  </w:style>
  <w:style w:type="paragraph" w:customStyle="1" w:styleId="xl84">
    <w:name w:val="xl84"/>
    <w:pPr>
      <w:spacing w:before="280" w:after="280"/>
      <w:textAlignment w:val="center"/>
    </w:pPr>
    <w:rPr>
      <w:rFonts w:ascii="Arial" w:eastAsia="Times New Roman" w:hAnsi="Arial" w:cs="Arial"/>
      <w:color w:val="003366"/>
      <w:sz w:val="18"/>
      <w:szCs w:val="18"/>
    </w:rPr>
  </w:style>
  <w:style w:type="paragraph" w:customStyle="1" w:styleId="xl85">
    <w:name w:val="xl85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  <w:textAlignment w:val="center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xl86">
    <w:name w:val="xl86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center"/>
    </w:pPr>
    <w:rPr>
      <w:rFonts w:ascii="Arial" w:eastAsia="Times New Roman" w:hAnsi="Arial" w:cs="Arial"/>
      <w:sz w:val="18"/>
      <w:szCs w:val="18"/>
    </w:rPr>
  </w:style>
  <w:style w:type="paragraph" w:customStyle="1" w:styleId="xl87">
    <w:name w:val="xl87"/>
    <w:pPr>
      <w:spacing w:before="280" w:after="280"/>
      <w:jc w:val="center"/>
      <w:textAlignment w:val="center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xl88">
    <w:name w:val="xl88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xl89">
    <w:name w:val="xl89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  <w:jc w:val="center"/>
      <w:textAlignment w:val="center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xl90">
    <w:name w:val="xl90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xl91">
    <w:name w:val="xl9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  <w:jc w:val="center"/>
      <w:textAlignment w:val="center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xl92">
    <w:name w:val="xl92"/>
    <w:pPr>
      <w:spacing w:before="280" w:after="280"/>
    </w:pPr>
    <w:rPr>
      <w:rFonts w:ascii="Arial" w:eastAsia="Times New Roman" w:hAnsi="Arial" w:cs="Arial"/>
      <w:sz w:val="18"/>
      <w:szCs w:val="18"/>
    </w:rPr>
  </w:style>
  <w:style w:type="paragraph" w:customStyle="1" w:styleId="xl93">
    <w:name w:val="xl93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rFonts w:ascii="Arial" w:eastAsia="Times New Roman" w:hAnsi="Arial" w:cs="Arial"/>
      <w:sz w:val="18"/>
      <w:szCs w:val="18"/>
    </w:rPr>
  </w:style>
  <w:style w:type="paragraph" w:customStyle="1" w:styleId="xl94">
    <w:name w:val="xl9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xl95">
    <w:name w:val="xl9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rFonts w:ascii="Arial" w:eastAsia="Times New Roman" w:hAnsi="Arial" w:cs="Arial"/>
      <w:sz w:val="18"/>
      <w:szCs w:val="18"/>
    </w:rPr>
  </w:style>
  <w:style w:type="paragraph" w:customStyle="1" w:styleId="xl96">
    <w:name w:val="xl96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  <w:jc w:val="center"/>
      <w:textAlignment w:val="center"/>
    </w:pPr>
    <w:rPr>
      <w:rFonts w:ascii="Arial" w:eastAsia="Times New Roman" w:hAnsi="Arial" w:cs="Arial"/>
      <w:sz w:val="18"/>
      <w:szCs w:val="18"/>
    </w:rPr>
  </w:style>
  <w:style w:type="paragraph" w:customStyle="1" w:styleId="xl97">
    <w:name w:val="xl97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  <w:jc w:val="center"/>
      <w:textAlignment w:val="center"/>
    </w:pPr>
    <w:rPr>
      <w:rFonts w:ascii="Arial" w:eastAsia="Times New Roman" w:hAnsi="Arial" w:cs="Arial"/>
      <w:sz w:val="18"/>
      <w:szCs w:val="18"/>
    </w:rPr>
  </w:style>
  <w:style w:type="paragraph" w:customStyle="1" w:styleId="xl98">
    <w:name w:val="xl98"/>
    <w:pPr>
      <w:spacing w:before="280" w:after="280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xl99">
    <w:name w:val="xl99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  <w:jc w:val="center"/>
      <w:textAlignment w:val="center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xl100">
    <w:name w:val="xl100"/>
    <w:pPr>
      <w:spacing w:before="280" w:after="280"/>
      <w:jc w:val="center"/>
      <w:textAlignment w:val="center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xl101">
    <w:name w:val="xl10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</w:pPr>
    <w:rPr>
      <w:rFonts w:ascii="Arial" w:eastAsia="Times New Roman" w:hAnsi="Arial" w:cs="Arial"/>
      <w:sz w:val="18"/>
      <w:szCs w:val="18"/>
    </w:rPr>
  </w:style>
  <w:style w:type="paragraph" w:customStyle="1" w:styleId="xl102">
    <w:name w:val="xl102"/>
    <w:pPr>
      <w:spacing w:before="280" w:after="280"/>
      <w:jc w:val="center"/>
      <w:textAlignment w:val="center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xl103">
    <w:name w:val="xl103"/>
    <w:pPr>
      <w:spacing w:before="280" w:after="280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</w:rPr>
  </w:style>
  <w:style w:type="paragraph" w:customStyle="1" w:styleId="xl104">
    <w:name w:val="xl104"/>
    <w:pPr>
      <w:spacing w:before="280" w:after="280"/>
      <w:textAlignment w:val="center"/>
    </w:pPr>
    <w:rPr>
      <w:rFonts w:ascii="Arial" w:eastAsia="Times New Roman" w:hAnsi="Arial" w:cs="Arial"/>
      <w:color w:val="000000"/>
      <w:sz w:val="18"/>
      <w:szCs w:val="18"/>
    </w:rPr>
  </w:style>
  <w:style w:type="paragraph" w:customStyle="1" w:styleId="Style11">
    <w:name w:val="Style11"/>
    <w:rPr>
      <w:rFonts w:ascii="Arial" w:eastAsia="Times New Roman" w:hAnsi="Arial" w:cs="Arial"/>
      <w:b/>
      <w:bCs/>
      <w:sz w:val="24"/>
      <w:szCs w:val="24"/>
    </w:rPr>
  </w:style>
  <w:style w:type="paragraph" w:customStyle="1" w:styleId="Style17">
    <w:name w:val="Style17"/>
    <w:pPr>
      <w:spacing w:line="211" w:lineRule="exac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2">
    <w:name w:val="Style22"/>
    <w:pPr>
      <w:spacing w:line="208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styleId="Lista-kontynuacja2">
    <w:name w:val="List Continue 2"/>
    <w:basedOn w:val="Lista-kontynuacja"/>
    <w:pPr>
      <w:spacing w:after="160"/>
      <w:ind w:left="1080" w:hanging="360"/>
    </w:pPr>
  </w:style>
  <w:style w:type="paragraph" w:styleId="Lista-kontynuacja">
    <w:name w:val="List Continue"/>
    <w:pPr>
      <w:spacing w:after="120"/>
      <w:ind w:left="283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Textbodyuser">
    <w:name w:val="Text body (user)"/>
    <w:basedOn w:val="Standarduser"/>
    <w:pPr>
      <w:spacing w:after="120"/>
    </w:pPr>
    <w:rPr>
      <w:rFonts w:eastAsia="SimSun" w:cs="Mangal"/>
    </w:rPr>
  </w:style>
  <w:style w:type="paragraph" w:customStyle="1" w:styleId="Pa1">
    <w:name w:val="Pa1"/>
    <w:pPr>
      <w:spacing w:line="241" w:lineRule="atLeast"/>
    </w:pPr>
    <w:rPr>
      <w:rFonts w:ascii="Times New Roman" w:eastAsia="SimSun" w:hAnsi="Times New Roman" w:cs="Mangal"/>
      <w:kern w:val="3"/>
      <w:sz w:val="24"/>
      <w:szCs w:val="24"/>
    </w:rPr>
  </w:style>
  <w:style w:type="paragraph" w:customStyle="1" w:styleId="NormalTable1">
    <w:name w:val="Normal Table1"/>
    <w:rPr>
      <w:rFonts w:ascii="Times New Roman" w:eastAsia="Times New Roman" w:hAnsi="Times New Roman" w:cs="Mangal"/>
      <w:kern w:val="3"/>
      <w:sz w:val="24"/>
      <w:szCs w:val="24"/>
    </w:rPr>
  </w:style>
  <w:style w:type="paragraph" w:styleId="Adreszwrotnynakopercie">
    <w:name w:val="envelope return"/>
    <w:rPr>
      <w:rFonts w:ascii="Arial" w:eastAsia="Times New Roman" w:hAnsi="Arial" w:cs="Arial"/>
      <w:kern w:val="3"/>
      <w:sz w:val="24"/>
      <w:szCs w:val="24"/>
      <w:lang w:eastAsia="ar-SA"/>
    </w:rPr>
  </w:style>
  <w:style w:type="paragraph" w:customStyle="1" w:styleId="Zwykytekst1">
    <w:name w:val="Zwykły tekst1"/>
    <w:rPr>
      <w:rFonts w:ascii="Consolas" w:eastAsia="Times New Roman" w:hAnsi="Consolas" w:cs="Consolas"/>
      <w:sz w:val="21"/>
      <w:szCs w:val="21"/>
      <w:lang w:eastAsia="ar-SA"/>
    </w:rPr>
  </w:style>
  <w:style w:type="paragraph" w:customStyle="1" w:styleId="Tekstpodstawowy22">
    <w:name w:val="Tekst podstawowy 22"/>
    <w:pPr>
      <w:jc w:val="both"/>
    </w:pPr>
    <w:rPr>
      <w:rFonts w:ascii="Arial" w:eastAsia="Times New Roman" w:hAnsi="Arial" w:cs="Times New Roman"/>
      <w:szCs w:val="20"/>
    </w:rPr>
  </w:style>
  <w:style w:type="paragraph" w:customStyle="1" w:styleId="ListParagraph1">
    <w:name w:val="List Paragraph1"/>
    <w:pPr>
      <w:ind w:left="720"/>
    </w:pPr>
    <w:rPr>
      <w:rFonts w:eastAsia="Times New Roman" w:cs="Times New Roman"/>
      <w:lang w:eastAsia="en-US"/>
    </w:rPr>
  </w:style>
  <w:style w:type="paragraph" w:styleId="Zwykytekst">
    <w:name w:val="Plain Text"/>
    <w:rPr>
      <w:rFonts w:ascii="Courier New" w:eastAsia="Times New Roman" w:hAnsi="Courier New" w:cs="Century Gothic"/>
      <w:kern w:val="3"/>
      <w:sz w:val="20"/>
      <w:szCs w:val="24"/>
    </w:rPr>
  </w:style>
  <w:style w:type="paragraph" w:customStyle="1" w:styleId="Gwkaistopka">
    <w:name w:val="Główka i stopka"/>
    <w:pPr>
      <w:spacing w:after="15" w:line="247" w:lineRule="auto"/>
      <w:ind w:left="10" w:right="8171" w:hanging="10"/>
    </w:pPr>
    <w:rPr>
      <w:rFonts w:ascii="Times New Roman" w:eastAsia="Times New Roman" w:hAnsi="Times New Roman" w:cs="Times New Roman"/>
      <w:color w:val="000000"/>
      <w:sz w:val="24"/>
    </w:rPr>
  </w:style>
  <w:style w:type="character" w:customStyle="1" w:styleId="Nagwek1Znak">
    <w:name w:val="Nagłówek 1 Znak"/>
    <w:basedOn w:val="Domylnaczcionkaakapitu"/>
    <w:rPr>
      <w:rFonts w:ascii="Cambria" w:eastAsia="F" w:hAnsi="Cambria" w:cs="F"/>
      <w:b/>
      <w:bCs/>
      <w:color w:val="365F91"/>
      <w:sz w:val="28"/>
      <w:szCs w:val="28"/>
    </w:rPr>
  </w:style>
  <w:style w:type="character" w:customStyle="1" w:styleId="Nagwek2Znak">
    <w:name w:val="Nagłówek 2 Znak"/>
    <w:basedOn w:val="Domylnaczcionkaakapitu"/>
    <w:rPr>
      <w:rFonts w:ascii="Cambria" w:eastAsia="F" w:hAnsi="Cambria" w:cs="F"/>
      <w:b/>
      <w:bCs/>
      <w:color w:val="4F81BD"/>
      <w:sz w:val="26"/>
      <w:szCs w:val="26"/>
    </w:rPr>
  </w:style>
  <w:style w:type="character" w:customStyle="1" w:styleId="Nagwek3Znak">
    <w:name w:val="Nagłówek 3 Znak"/>
    <w:basedOn w:val="Domylnaczcionkaakapitu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Nagwek4Znak">
    <w:name w:val="Nagłówek 4 Znak"/>
    <w:basedOn w:val="Domylnaczcionkaakapitu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Nagwek5Znak">
    <w:name w:val="Nagłówek 5 Znak"/>
    <w:basedOn w:val="Domylnaczcionkaakapitu"/>
    <w:rPr>
      <w:rFonts w:ascii="Cambria" w:eastAsia="F" w:hAnsi="Cambria" w:cs="F"/>
      <w:color w:val="365F91"/>
    </w:rPr>
  </w:style>
  <w:style w:type="character" w:customStyle="1" w:styleId="Nagwek6Znak">
    <w:name w:val="Nagłówek 6 Znak"/>
    <w:basedOn w:val="Domylnaczcionkaakapitu"/>
    <w:rPr>
      <w:rFonts w:ascii="Times New Roman" w:eastAsia="Times New Roman" w:hAnsi="Times New Roman" w:cs="Times New Roman"/>
      <w:b/>
      <w:bCs/>
    </w:rPr>
  </w:style>
  <w:style w:type="character" w:customStyle="1" w:styleId="Nagwek7Znak">
    <w:name w:val="Nagłówek 7 Znak"/>
    <w:basedOn w:val="Domylnaczcionkaakapitu"/>
    <w:rPr>
      <w:rFonts w:ascii="Cambria" w:eastAsia="F" w:hAnsi="Cambria" w:cs="F"/>
      <w:i/>
      <w:iCs/>
      <w:color w:val="404040"/>
    </w:rPr>
  </w:style>
  <w:style w:type="character" w:customStyle="1" w:styleId="Nagwek8Znak">
    <w:name w:val="Nagłówek 8 Znak"/>
    <w:basedOn w:val="Domylnaczcionkaakapitu"/>
    <w:rPr>
      <w:rFonts w:ascii="Times New Roman" w:eastAsia="Times New Roman" w:hAnsi="Times New Roman" w:cs="Times New Roman"/>
      <w:b/>
      <w:bCs/>
      <w:szCs w:val="20"/>
    </w:rPr>
  </w:style>
  <w:style w:type="character" w:customStyle="1" w:styleId="Nagwek9Znak">
    <w:name w:val="Nagłówek 9 Znak"/>
    <w:basedOn w:val="Domylnaczcionkaakapitu"/>
    <w:rPr>
      <w:rFonts w:ascii="Times New Roman" w:eastAsia="Times New Roman" w:hAnsi="Times New Roman" w:cs="Times New Roman"/>
      <w:b/>
      <w:sz w:val="26"/>
      <w:szCs w:val="20"/>
    </w:rPr>
  </w:style>
  <w:style w:type="character" w:customStyle="1" w:styleId="NagwekZnak">
    <w:name w:val="Nagłówek Znak"/>
    <w:basedOn w:val="Domylnaczcionkaakapitu"/>
    <w:rPr>
      <w:rFonts w:cs="Times New Roman"/>
    </w:rPr>
  </w:style>
  <w:style w:type="character" w:customStyle="1" w:styleId="StopkaZnak">
    <w:name w:val="Stopka Znak"/>
    <w:basedOn w:val="Domylnaczcionkaakapitu"/>
    <w:rPr>
      <w:rFonts w:cs="Times New Roman"/>
    </w:rPr>
  </w:style>
  <w:style w:type="character" w:customStyle="1" w:styleId="Teksttreci0">
    <w:name w:val="Tekst treści_"/>
    <w:rPr>
      <w:rFonts w:ascii="Verdana" w:eastAsia="Verdana" w:hAnsi="Verdana" w:cs="Verdana"/>
      <w:sz w:val="20"/>
      <w:shd w:val="clear" w:color="auto" w:fill="FFFFFF"/>
    </w:rPr>
  </w:style>
  <w:style w:type="character" w:customStyle="1" w:styleId="Internetlink">
    <w:name w:val="Internet link"/>
    <w:basedOn w:val="Domylnaczcionkaakapitu"/>
    <w:rPr>
      <w:rFonts w:cs="Times New Roman"/>
      <w:color w:val="0000FF"/>
      <w:u w:val="single"/>
    </w:rPr>
  </w:style>
  <w:style w:type="character" w:styleId="Odwoaniedokomentarza">
    <w:name w:val="annotation reference"/>
    <w:basedOn w:val="Domylnaczcionkaakapitu"/>
    <w:rPr>
      <w:rFonts w:cs="Times New Roman"/>
      <w:sz w:val="16"/>
      <w:szCs w:val="16"/>
    </w:rPr>
  </w:style>
  <w:style w:type="character" w:customStyle="1" w:styleId="TekstkomentarzaZnak">
    <w:name w:val="Tekst komentarza Znak"/>
    <w:basedOn w:val="Domylnaczcionkaakapitu"/>
    <w:rPr>
      <w:rFonts w:ascii="Calibri" w:eastAsia="Calibri" w:hAnsi="Calibri" w:cs="Times New Roman"/>
      <w:sz w:val="20"/>
      <w:szCs w:val="20"/>
    </w:rPr>
  </w:style>
  <w:style w:type="character" w:customStyle="1" w:styleId="TematkomentarzaZnak">
    <w:name w:val="Temat komentarza Znak"/>
    <w:basedOn w:val="TekstkomentarzaZnak"/>
    <w:rPr>
      <w:rFonts w:ascii="Calibri" w:eastAsia="Calibri" w:hAnsi="Calibri" w:cs="Times New Roman"/>
      <w:b/>
      <w:bCs/>
      <w:sz w:val="20"/>
      <w:szCs w:val="20"/>
    </w:rPr>
  </w:style>
  <w:style w:type="character" w:customStyle="1" w:styleId="TekstdymkaZnak">
    <w:name w:val="Tekst dymka Znak"/>
    <w:basedOn w:val="Domylnaczcionkaakapitu"/>
    <w:rPr>
      <w:rFonts w:ascii="Tahoma" w:eastAsia="Tahoma" w:hAnsi="Tahoma" w:cs="Tahoma"/>
      <w:sz w:val="16"/>
      <w:szCs w:val="16"/>
    </w:rPr>
  </w:style>
  <w:style w:type="character" w:customStyle="1" w:styleId="text2">
    <w:name w:val="text2"/>
    <w:basedOn w:val="Domylnaczcionkaakapitu"/>
    <w:rPr>
      <w:rFonts w:cs="Times New Roman"/>
    </w:rPr>
  </w:style>
  <w:style w:type="character" w:customStyle="1" w:styleId="TytuZnak">
    <w:name w:val="Tytuł Znak"/>
    <w:basedOn w:val="Domylnaczcionkaakapitu"/>
    <w:rPr>
      <w:rFonts w:ascii="Cambria" w:eastAsia="Times New Roman" w:hAnsi="Cambria" w:cs="Cambria"/>
      <w:color w:val="343434"/>
      <w:spacing w:val="5"/>
      <w:kern w:val="3"/>
      <w:sz w:val="52"/>
      <w:szCs w:val="52"/>
    </w:rPr>
  </w:style>
  <w:style w:type="character" w:styleId="HTML-cytat">
    <w:name w:val="HTML Cite"/>
    <w:basedOn w:val="Domylnaczcionkaakapitu"/>
    <w:rPr>
      <w:i w:val="0"/>
      <w:iCs w:val="0"/>
      <w:color w:val="006621"/>
    </w:rPr>
  </w:style>
  <w:style w:type="character" w:customStyle="1" w:styleId="TekstprzypisukocowegoZnak">
    <w:name w:val="Tekst przypisu końcowego Znak"/>
    <w:basedOn w:val="Domylnaczcionkaakapitu"/>
    <w:rPr>
      <w:rFonts w:cs="F"/>
      <w:sz w:val="20"/>
      <w:szCs w:val="20"/>
    </w:rPr>
  </w:style>
  <w:style w:type="character" w:customStyle="1" w:styleId="EndnoteSymbol">
    <w:name w:val="Endnote Symbol"/>
    <w:basedOn w:val="Domylnaczcionkaakapitu"/>
    <w:rPr>
      <w:position w:val="0"/>
      <w:vertAlign w:val="superscript"/>
    </w:rPr>
  </w:style>
  <w:style w:type="character" w:customStyle="1" w:styleId="Endnoteanchor">
    <w:name w:val="Endnote anchor"/>
    <w:rPr>
      <w:position w:val="0"/>
      <w:vertAlign w:val="superscript"/>
    </w:rPr>
  </w:style>
  <w:style w:type="character" w:customStyle="1" w:styleId="FootnoteSymbol">
    <w:name w:val="Footnote Symbol"/>
    <w:rPr>
      <w:rFonts w:cs="Times New Roman"/>
      <w:position w:val="0"/>
      <w:vertAlign w:val="superscript"/>
    </w:rPr>
  </w:style>
  <w:style w:type="character" w:customStyle="1" w:styleId="Footnoteanchor">
    <w:name w:val="Footnote anchor"/>
    <w:rPr>
      <w:rFonts w:cs="Times New Roman"/>
      <w:position w:val="0"/>
      <w:vertAlign w:val="superscript"/>
    </w:rPr>
  </w:style>
  <w:style w:type="character" w:customStyle="1" w:styleId="IGindeksgrny">
    <w:name w:val="_IG_ – indeks górny"/>
    <w:rPr>
      <w:rFonts w:cs="Times New Roman"/>
      <w:spacing w:val="0"/>
      <w:position w:val="0"/>
      <w:vertAlign w:val="superscript"/>
    </w:rPr>
  </w:style>
  <w:style w:type="character" w:customStyle="1" w:styleId="TekstprzypisudolnegoZnak">
    <w:name w:val="Tekst przypisu dolnego Znak"/>
    <w:basedOn w:val="Domylnaczcionkaakapitu"/>
    <w:rPr>
      <w:rFonts w:ascii="MS Sans Serif" w:eastAsia="SimSun" w:hAnsi="MS Sans Serif" w:cs="MS Sans Serif"/>
      <w:sz w:val="20"/>
      <w:szCs w:val="20"/>
      <w:lang w:eastAsia="zh-CN"/>
    </w:rPr>
  </w:style>
  <w:style w:type="character" w:customStyle="1" w:styleId="Znakiprzypiswdolnych">
    <w:name w:val="Znaki przypisów dolnych"/>
    <w:rPr>
      <w:position w:val="0"/>
      <w:vertAlign w:val="superscript"/>
    </w:rPr>
  </w:style>
  <w:style w:type="character" w:customStyle="1" w:styleId="Odwoanieprzypisudolnego2">
    <w:name w:val="Odwołanie przypisu dolnego2"/>
    <w:rPr>
      <w:position w:val="0"/>
      <w:vertAlign w:val="superscript"/>
    </w:rPr>
  </w:style>
  <w:style w:type="character" w:customStyle="1" w:styleId="Tekstpodstawowy3Znak">
    <w:name w:val="Tekst podstawowy 3 Znak"/>
    <w:basedOn w:val="Domylnaczcionkaakapitu"/>
    <w:rPr>
      <w:rFonts w:ascii="Times New Roman" w:eastAsia="Times New Roman" w:hAnsi="Times New Roman" w:cs="Times New Roman"/>
      <w:b/>
      <w:sz w:val="23"/>
      <w:szCs w:val="24"/>
    </w:rPr>
  </w:style>
  <w:style w:type="character" w:customStyle="1" w:styleId="TekstpodstawowyZnak">
    <w:name w:val="Tekst podstawowy Znak"/>
    <w:basedOn w:val="Domylnaczcionkaakapitu"/>
  </w:style>
  <w:style w:type="character" w:customStyle="1" w:styleId="Tekstpodstawowywcity3Znak">
    <w:name w:val="Tekst podstawowy wcięty 3 Znak"/>
    <w:basedOn w:val="Domylnaczcionkaakapitu"/>
    <w:rPr>
      <w:sz w:val="16"/>
      <w:szCs w:val="16"/>
    </w:rPr>
  </w:style>
  <w:style w:type="character" w:customStyle="1" w:styleId="TekstpodstawowywcityZnak">
    <w:name w:val="Tekst podstawowy wcięty Znak"/>
    <w:basedOn w:val="Domylnaczcionkaakapitu"/>
  </w:style>
  <w:style w:type="character" w:customStyle="1" w:styleId="Tekstpodstawowy2Znak">
    <w:name w:val="Tekst podstawowy 2 Znak"/>
    <w:basedOn w:val="Domylnaczcionkaakapitu"/>
  </w:style>
  <w:style w:type="character" w:customStyle="1" w:styleId="NormalBoldChar">
    <w:name w:val="NormalBold Char"/>
    <w:rPr>
      <w:rFonts w:ascii="Times New Roman" w:eastAsia="Times New Roman" w:hAnsi="Times New Roman" w:cs="Times New Roman"/>
      <w:b/>
      <w:sz w:val="24"/>
      <w:lang w:eastAsia="en-GB"/>
    </w:rPr>
  </w:style>
  <w:style w:type="character" w:customStyle="1" w:styleId="DeltaViewInsertion">
    <w:name w:val="DeltaView Insertion"/>
    <w:rPr>
      <w:b/>
      <w:i/>
      <w:spacing w:val="0"/>
    </w:rPr>
  </w:style>
  <w:style w:type="character" w:customStyle="1" w:styleId="Znak9">
    <w:name w:val="Znak9"/>
    <w:basedOn w:val="Domylnaczcionkaakapitu"/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PodtytuZnak">
    <w:name w:val="Podtytuł Znak"/>
    <w:basedOn w:val="Domylnaczcionkaakapitu"/>
    <w:rPr>
      <w:rFonts w:ascii="Times New Roman" w:eastAsia="Times New Roman" w:hAnsi="Times New Roman" w:cs="Times New Roman"/>
      <w:sz w:val="24"/>
      <w:szCs w:val="20"/>
      <w:lang w:eastAsia="en-US"/>
    </w:rPr>
  </w:style>
  <w:style w:type="character" w:customStyle="1" w:styleId="Heading1Char">
    <w:name w:val="Heading 1 Char"/>
    <w:rPr>
      <w:rFonts w:ascii="Arial" w:eastAsia="Times New Roman" w:hAnsi="Arial" w:cs="Arial"/>
      <w:b/>
      <w:bCs/>
      <w:kern w:val="3"/>
      <w:sz w:val="32"/>
      <w:szCs w:val="32"/>
      <w:lang w:eastAsia="pl-PL"/>
    </w:rPr>
  </w:style>
  <w:style w:type="character" w:customStyle="1" w:styleId="Heading2Char">
    <w:name w:val="Heading 2 Char"/>
    <w:rPr>
      <w:rFonts w:ascii="Bookman Old Style" w:eastAsia="Times New Roman" w:hAnsi="Bookman Old Style" w:cs="Times New Roman"/>
      <w:b/>
      <w:sz w:val="28"/>
      <w:szCs w:val="20"/>
      <w:lang w:eastAsia="pl-PL"/>
    </w:rPr>
  </w:style>
  <w:style w:type="character" w:customStyle="1" w:styleId="Heading3Char">
    <w:name w:val="Heading 3 Char"/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Heading4Char">
    <w:name w:val="Heading 4 Char"/>
    <w:rPr>
      <w:rFonts w:ascii="Times New Roman" w:eastAsia="Times New Roman" w:hAnsi="Times New Roman" w:cs="Times New Roman"/>
      <w:b/>
      <w:bCs/>
      <w:sz w:val="28"/>
      <w:szCs w:val="28"/>
      <w:lang w:eastAsia="pl-PL"/>
    </w:rPr>
  </w:style>
  <w:style w:type="character" w:customStyle="1" w:styleId="Heading5Char">
    <w:name w:val="Heading 5 Char"/>
    <w:rPr>
      <w:rFonts w:ascii="Calibri" w:eastAsia="Times New Roman" w:hAnsi="Calibri" w:cs="Times New Roman"/>
      <w:b/>
      <w:bCs/>
      <w:i/>
      <w:iCs/>
      <w:sz w:val="26"/>
      <w:szCs w:val="26"/>
      <w:lang w:eastAsia="pl-PL"/>
    </w:rPr>
  </w:style>
  <w:style w:type="character" w:customStyle="1" w:styleId="Heading6Char">
    <w:name w:val="Heading 6 Char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character" w:customStyle="1" w:styleId="Heading7Char">
    <w:name w:val="Heading 7 Char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Heading8Char">
    <w:name w:val="Heading 8 Char"/>
    <w:rPr>
      <w:rFonts w:ascii="Times New Roman" w:eastAsia="Times New Roman" w:hAnsi="Times New Roman" w:cs="Times New Roman"/>
      <w:i/>
      <w:iCs/>
      <w:sz w:val="24"/>
      <w:szCs w:val="24"/>
      <w:lang w:eastAsia="pl-PL"/>
    </w:rPr>
  </w:style>
  <w:style w:type="character" w:customStyle="1" w:styleId="Heading9Char">
    <w:name w:val="Heading 9 Char"/>
    <w:rPr>
      <w:rFonts w:ascii="Arial" w:eastAsia="Times New Roman" w:hAnsi="Arial" w:cs="Arial"/>
      <w:lang w:eastAsia="pl-PL"/>
    </w:rPr>
  </w:style>
  <w:style w:type="character" w:customStyle="1" w:styleId="FooterChar">
    <w:name w:val="Footer Char"/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HeaderChar">
    <w:name w:val="Header Char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BodyTextIndent3Char">
    <w:name w:val="Body Text Indent 3 Char"/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BodyTextChar">
    <w:name w:val="Body Text Char"/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BodyText2Char">
    <w:name w:val="Body Text 2 Char"/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BodyText3Char">
    <w:name w:val="Body Text 3 Char"/>
    <w:rPr>
      <w:rFonts w:ascii="Times New Roman" w:eastAsia="Times New Roman" w:hAnsi="Times New Roman" w:cs="Times New Roman"/>
      <w:sz w:val="16"/>
      <w:szCs w:val="16"/>
      <w:lang w:eastAsia="pl-PL"/>
    </w:rPr>
  </w:style>
  <w:style w:type="character" w:customStyle="1" w:styleId="WW8Num1z0">
    <w:name w:val="WW8Num1z0"/>
    <w:rPr>
      <w:rFonts w:ascii="Symbol" w:eastAsia="Symbol" w:hAnsi="Symbol" w:cs="Symbol"/>
    </w:rPr>
  </w:style>
  <w:style w:type="character" w:customStyle="1" w:styleId="BodyTextIndentChar">
    <w:name w:val="Body Text Indent Char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ZnakZnak10">
    <w:name w:val="Znak Znak10"/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rPr>
      <w:sz w:val="24"/>
    </w:rPr>
  </w:style>
  <w:style w:type="character" w:customStyle="1" w:styleId="Tekstpodstawowywcity2Znak1">
    <w:name w:val="Tekst podstawowy wcięty 2 Znak1"/>
    <w:basedOn w:val="Domylnaczcionkaakapitu"/>
  </w:style>
  <w:style w:type="character" w:customStyle="1" w:styleId="TitleChar">
    <w:name w:val="Title Char"/>
    <w:rPr>
      <w:rFonts w:ascii="Bookman Old Style" w:eastAsia="Times New Roman" w:hAnsi="Bookman Old Style" w:cs="Times New Roman"/>
      <w:b/>
      <w:sz w:val="24"/>
      <w:szCs w:val="20"/>
      <w:lang w:eastAsia="pl-PL"/>
    </w:rPr>
  </w:style>
  <w:style w:type="character" w:customStyle="1" w:styleId="SubtitleChar">
    <w:name w:val="Subtitle Char"/>
    <w:rPr>
      <w:rFonts w:ascii="Times New Roman" w:eastAsia="Times New Roman" w:hAnsi="Times New Roman" w:cs="Times New Roman"/>
      <w:sz w:val="24"/>
      <w:szCs w:val="20"/>
    </w:rPr>
  </w:style>
  <w:style w:type="character" w:customStyle="1" w:styleId="symbol">
    <w:name w:val="symbol"/>
    <w:basedOn w:val="Domylnaczcionkaakapitu"/>
  </w:style>
  <w:style w:type="character" w:customStyle="1" w:styleId="Style2">
    <w:name w:val="Style2"/>
    <w:basedOn w:val="Domylnaczcionkaakapitu"/>
    <w:rPr>
      <w:sz w:val="20"/>
    </w:rPr>
  </w:style>
  <w:style w:type="character" w:customStyle="1" w:styleId="TekstprzypisukocowegoZnak1">
    <w:name w:val="Tekst przypisu końcowego Znak1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Pogrubienie">
    <w:name w:val="Strong"/>
    <w:basedOn w:val="Domylnaczcionkaakapitu"/>
    <w:rPr>
      <w:b/>
      <w:bCs/>
    </w:rPr>
  </w:style>
  <w:style w:type="character" w:customStyle="1" w:styleId="grame">
    <w:name w:val="grame"/>
    <w:basedOn w:val="Domylnaczcionkaakapitu"/>
  </w:style>
  <w:style w:type="character" w:customStyle="1" w:styleId="spelle">
    <w:name w:val="spelle"/>
    <w:basedOn w:val="Domylnaczcionkaakapitu"/>
  </w:style>
  <w:style w:type="character" w:customStyle="1" w:styleId="AkapitzlistZnak">
    <w:name w:val="Akapit z listą Znak"/>
    <w:rPr>
      <w:rFonts w:ascii="Times New Roman" w:eastAsia="Times New Roman" w:hAnsi="Times New Roman" w:cs="Times New Roman"/>
      <w:sz w:val="24"/>
      <w:szCs w:val="24"/>
    </w:rPr>
  </w:style>
  <w:style w:type="character" w:styleId="UyteHipercze">
    <w:name w:val="FollowedHyperlink"/>
    <w:basedOn w:val="Domylnaczcionkaakapitu"/>
    <w:rPr>
      <w:color w:val="800080"/>
      <w:u w:val="single"/>
    </w:rPr>
  </w:style>
  <w:style w:type="character" w:styleId="Numerstrony">
    <w:name w:val="page number"/>
    <w:basedOn w:val="Domylnaczcionkaakapitu"/>
  </w:style>
  <w:style w:type="character" w:customStyle="1" w:styleId="Nierozpoznanawzmianka1">
    <w:name w:val="Nierozpoznana wzmianka1"/>
    <w:basedOn w:val="Domylnaczcionkaakapitu"/>
    <w:rPr>
      <w:color w:val="605E5C"/>
      <w:shd w:val="clear" w:color="auto" w:fill="E1DFDD"/>
    </w:rPr>
  </w:style>
  <w:style w:type="character" w:customStyle="1" w:styleId="FontStyle52">
    <w:name w:val="Font Style52"/>
    <w:rPr>
      <w:rFonts w:ascii="Arial" w:eastAsia="Arial" w:hAnsi="Arial" w:cs="Arial"/>
      <w:sz w:val="20"/>
      <w:szCs w:val="20"/>
    </w:rPr>
  </w:style>
  <w:style w:type="character" w:customStyle="1" w:styleId="FontStyle127">
    <w:name w:val="Font Style127"/>
    <w:basedOn w:val="Domylnaczcionkaakapitu"/>
    <w:rPr>
      <w:rFonts w:ascii="Times New Roman" w:eastAsia="Times New Roman" w:hAnsi="Times New Roman" w:cs="Times New Roman"/>
      <w:sz w:val="20"/>
      <w:szCs w:val="20"/>
    </w:rPr>
  </w:style>
  <w:style w:type="character" w:customStyle="1" w:styleId="st">
    <w:name w:val="st"/>
    <w:basedOn w:val="Domylnaczcionkaakapitu"/>
  </w:style>
  <w:style w:type="character" w:customStyle="1" w:styleId="BodyTextIndent2Char">
    <w:name w:val="Body Text Indent 2 Char"/>
    <w:basedOn w:val="Domylnaczcionkaakapitu"/>
    <w:rPr>
      <w:rFonts w:ascii="Times New Roman" w:eastAsia="Times New Roman" w:hAnsi="Times New Roman" w:cs="Times New Roman"/>
      <w:lang w:val="pl-PL" w:eastAsia="pl-PL"/>
    </w:rPr>
  </w:style>
  <w:style w:type="character" w:customStyle="1" w:styleId="DocumentMapChar">
    <w:name w:val="Document Map Char"/>
    <w:basedOn w:val="Domylnaczcionkaakapitu"/>
    <w:rPr>
      <w:rFonts w:ascii="Tahoma" w:eastAsia="Tahoma" w:hAnsi="Tahoma" w:cs="Tahoma"/>
      <w:sz w:val="16"/>
      <w:szCs w:val="16"/>
      <w:lang w:val="pl-PL" w:eastAsia="pl-PL"/>
    </w:rPr>
  </w:style>
  <w:style w:type="character" w:customStyle="1" w:styleId="MapadokumentuZnak">
    <w:name w:val="Mapa dokumentu Znak"/>
    <w:basedOn w:val="Domylnaczcionkaakapitu"/>
    <w:rPr>
      <w:rFonts w:ascii="Tahoma" w:eastAsia="Times New Roman" w:hAnsi="Tahoma" w:cs="Tahoma"/>
      <w:sz w:val="16"/>
      <w:szCs w:val="16"/>
    </w:rPr>
  </w:style>
  <w:style w:type="character" w:customStyle="1" w:styleId="PlandokumentuZnak1">
    <w:name w:val="Plan dokumentu Znak1"/>
    <w:basedOn w:val="Domylnaczcionkaakapitu"/>
    <w:rPr>
      <w:rFonts w:ascii="Tahoma" w:eastAsia="Tahoma" w:hAnsi="Tahoma" w:cs="Tahoma"/>
      <w:sz w:val="16"/>
      <w:szCs w:val="16"/>
      <w:lang w:eastAsia="pl-PL"/>
    </w:rPr>
  </w:style>
  <w:style w:type="character" w:customStyle="1" w:styleId="FontStyle18">
    <w:name w:val="Font Style18"/>
    <w:rPr>
      <w:rFonts w:ascii="Arial" w:eastAsia="Arial" w:hAnsi="Arial" w:cs="Arial"/>
      <w:color w:val="000000"/>
      <w:sz w:val="18"/>
    </w:rPr>
  </w:style>
  <w:style w:type="character" w:customStyle="1" w:styleId="FontStyle58">
    <w:name w:val="Font Style58"/>
    <w:rPr>
      <w:rFonts w:ascii="Times New Roman" w:eastAsia="Times New Roman" w:hAnsi="Times New Roman" w:cs="Times New Roman"/>
      <w:sz w:val="16"/>
    </w:rPr>
  </w:style>
  <w:style w:type="character" w:customStyle="1" w:styleId="FontStyle57">
    <w:name w:val="Font Style57"/>
    <w:rPr>
      <w:rFonts w:ascii="Times New Roman" w:eastAsia="Times New Roman" w:hAnsi="Times New Roman" w:cs="Times New Roman"/>
      <w:b/>
      <w:sz w:val="16"/>
    </w:rPr>
  </w:style>
  <w:style w:type="character" w:customStyle="1" w:styleId="A3">
    <w:name w:val="A3"/>
    <w:rPr>
      <w:rFonts w:ascii="Calibri, Calibri" w:eastAsia="Calibri, Calibri" w:hAnsi="Calibri, Calibri" w:cs="Calibri, Calibri"/>
      <w:color w:val="000000"/>
      <w:sz w:val="20"/>
    </w:rPr>
  </w:style>
  <w:style w:type="character" w:customStyle="1" w:styleId="FontStyle53">
    <w:name w:val="Font Style53"/>
    <w:basedOn w:val="Domylnaczcionkaakapitu"/>
    <w:rPr>
      <w:rFonts w:ascii="Times New Roman" w:eastAsia="Times New Roman" w:hAnsi="Times New Roman" w:cs="Times New Roman"/>
      <w:sz w:val="18"/>
      <w:szCs w:val="18"/>
    </w:rPr>
  </w:style>
  <w:style w:type="character" w:customStyle="1" w:styleId="apple-converted-space">
    <w:name w:val="apple-converted-space"/>
    <w:basedOn w:val="Domylnaczcionkaakapitu"/>
    <w:rPr>
      <w:rFonts w:cs="Times New Roman"/>
    </w:rPr>
  </w:style>
  <w:style w:type="character" w:customStyle="1" w:styleId="tabulatory">
    <w:name w:val="tabulatory"/>
    <w:basedOn w:val="Domylnaczcionkaakapitu"/>
    <w:rPr>
      <w:rFonts w:cs="Times New Roman"/>
    </w:rPr>
  </w:style>
  <w:style w:type="character" w:customStyle="1" w:styleId="txt-new">
    <w:name w:val="txt-new"/>
    <w:basedOn w:val="Domylnaczcionkaakapitu"/>
    <w:rPr>
      <w:rFonts w:cs="Times New Roman"/>
    </w:rPr>
  </w:style>
  <w:style w:type="character" w:customStyle="1" w:styleId="style18">
    <w:name w:val="style18"/>
    <w:basedOn w:val="Domylnaczcionkaakapitu"/>
    <w:rPr>
      <w:rFonts w:cs="Times New Roman"/>
    </w:rPr>
  </w:style>
  <w:style w:type="character" w:customStyle="1" w:styleId="ZwykytekstZnak">
    <w:name w:val="Zwykły tekst Znak"/>
    <w:basedOn w:val="Domylnaczcionkaakapitu"/>
    <w:rPr>
      <w:rFonts w:ascii="Courier New" w:eastAsia="Times New Roman" w:hAnsi="Courier New" w:cs="Century Gothic"/>
      <w:kern w:val="3"/>
      <w:sz w:val="20"/>
      <w:szCs w:val="24"/>
    </w:rPr>
  </w:style>
  <w:style w:type="character" w:styleId="Numerwiersza">
    <w:name w:val="line number"/>
    <w:basedOn w:val="Domylnaczcionkaakapitu"/>
    <w:rPr>
      <w:rFonts w:cs="Times New Roman"/>
    </w:rPr>
  </w:style>
  <w:style w:type="character" w:styleId="Tekstzastpczy">
    <w:name w:val="Placeholder Text"/>
    <w:basedOn w:val="Domylnaczcionkaakapitu"/>
    <w:rPr>
      <w:rFonts w:cs="Times New Roman"/>
      <w:color w:val="808080"/>
    </w:rPr>
  </w:style>
  <w:style w:type="character" w:customStyle="1" w:styleId="FontStyle12">
    <w:name w:val="Font Style12"/>
    <w:basedOn w:val="Domylnaczcionkaakapitu"/>
  </w:style>
  <w:style w:type="character" w:customStyle="1" w:styleId="StopkaZnak1">
    <w:name w:val="Stopka Znak1"/>
    <w:basedOn w:val="Domylnaczcionkaakapitu"/>
    <w:rPr>
      <w:rFonts w:ascii="Times New Roman" w:eastAsia="Times New Roman" w:hAnsi="Times New Roman" w:cs="Times New Roman"/>
      <w:color w:val="000000"/>
      <w:sz w:val="24"/>
    </w:rPr>
  </w:style>
  <w:style w:type="character" w:customStyle="1" w:styleId="ListLabel1">
    <w:name w:val="ListLabel 1"/>
    <w:rPr>
      <w:rFonts w:ascii="Times New Roman" w:eastAsia="Noto Sans Symbols" w:hAnsi="Times New Roman" w:cs="Noto Sans Symbols"/>
      <w:sz w:val="20"/>
    </w:rPr>
  </w:style>
  <w:style w:type="character" w:customStyle="1" w:styleId="ListLabel2">
    <w:name w:val="ListLabel 2"/>
    <w:rPr>
      <w:rFonts w:eastAsia="Courier New" w:cs="Courier New"/>
    </w:rPr>
  </w:style>
  <w:style w:type="character" w:customStyle="1" w:styleId="ListLabel3">
    <w:name w:val="ListLabel 3"/>
    <w:rPr>
      <w:rFonts w:eastAsia="Noto Sans Symbols" w:cs="Noto Sans Symbols"/>
    </w:rPr>
  </w:style>
  <w:style w:type="character" w:customStyle="1" w:styleId="ListLabel4">
    <w:name w:val="ListLabel 4"/>
    <w:rPr>
      <w:rFonts w:eastAsia="Noto Sans Symbols" w:cs="Noto Sans Symbols"/>
    </w:rPr>
  </w:style>
  <w:style w:type="character" w:customStyle="1" w:styleId="ListLabel5">
    <w:name w:val="ListLabel 5"/>
    <w:rPr>
      <w:rFonts w:eastAsia="Courier New" w:cs="Courier New"/>
    </w:rPr>
  </w:style>
  <w:style w:type="character" w:customStyle="1" w:styleId="ListLabel6">
    <w:name w:val="ListLabel 6"/>
    <w:rPr>
      <w:rFonts w:eastAsia="Noto Sans Symbols" w:cs="Noto Sans Symbols"/>
    </w:rPr>
  </w:style>
  <w:style w:type="character" w:customStyle="1" w:styleId="ListLabel7">
    <w:name w:val="ListLabel 7"/>
    <w:rPr>
      <w:rFonts w:eastAsia="Noto Sans Symbols" w:cs="Noto Sans Symbols"/>
    </w:rPr>
  </w:style>
  <w:style w:type="character" w:customStyle="1" w:styleId="ListLabel8">
    <w:name w:val="ListLabel 8"/>
    <w:rPr>
      <w:rFonts w:eastAsia="Courier New" w:cs="Courier New"/>
    </w:rPr>
  </w:style>
  <w:style w:type="character" w:customStyle="1" w:styleId="ListLabel9">
    <w:name w:val="ListLabel 9"/>
    <w:rPr>
      <w:rFonts w:eastAsia="Noto Sans Symbols" w:cs="Noto Sans Symbols"/>
    </w:rPr>
  </w:style>
  <w:style w:type="character" w:customStyle="1" w:styleId="ListLabel10">
    <w:name w:val="ListLabel 10"/>
    <w:rPr>
      <w:rFonts w:ascii="Times New Roman" w:eastAsia="Times New Roman" w:hAnsi="Times New Roman" w:cs="Times New Roman"/>
      <w:color w:val="000000"/>
      <w:sz w:val="20"/>
    </w:rPr>
  </w:style>
  <w:style w:type="character" w:customStyle="1" w:styleId="ListLabel11">
    <w:name w:val="ListLabel 11"/>
    <w:rPr>
      <w:rFonts w:ascii="Times New Roman" w:eastAsia="Noto Sans Symbols" w:hAnsi="Times New Roman" w:cs="Noto Sans Symbols"/>
      <w:sz w:val="20"/>
    </w:rPr>
  </w:style>
  <w:style w:type="character" w:customStyle="1" w:styleId="ListLabel12">
    <w:name w:val="ListLabel 12"/>
    <w:rPr>
      <w:rFonts w:eastAsia="Courier New" w:cs="Courier New"/>
    </w:rPr>
  </w:style>
  <w:style w:type="character" w:customStyle="1" w:styleId="ListLabel13">
    <w:name w:val="ListLabel 13"/>
    <w:rPr>
      <w:rFonts w:eastAsia="Noto Sans Symbols" w:cs="Noto Sans Symbols"/>
    </w:rPr>
  </w:style>
  <w:style w:type="character" w:customStyle="1" w:styleId="ListLabel14">
    <w:name w:val="ListLabel 14"/>
    <w:rPr>
      <w:rFonts w:eastAsia="Noto Sans Symbols" w:cs="Noto Sans Symbols"/>
    </w:rPr>
  </w:style>
  <w:style w:type="character" w:customStyle="1" w:styleId="ListLabel15">
    <w:name w:val="ListLabel 15"/>
    <w:rPr>
      <w:rFonts w:eastAsia="Courier New" w:cs="Courier New"/>
    </w:rPr>
  </w:style>
  <w:style w:type="character" w:customStyle="1" w:styleId="ListLabel16">
    <w:name w:val="ListLabel 16"/>
    <w:rPr>
      <w:rFonts w:eastAsia="Noto Sans Symbols" w:cs="Noto Sans Symbols"/>
    </w:rPr>
  </w:style>
  <w:style w:type="character" w:customStyle="1" w:styleId="ListLabel17">
    <w:name w:val="ListLabel 17"/>
    <w:rPr>
      <w:rFonts w:eastAsia="Noto Sans Symbols" w:cs="Noto Sans Symbols"/>
    </w:rPr>
  </w:style>
  <w:style w:type="character" w:customStyle="1" w:styleId="ListLabel18">
    <w:name w:val="ListLabel 18"/>
    <w:rPr>
      <w:rFonts w:eastAsia="Courier New" w:cs="Courier New"/>
    </w:rPr>
  </w:style>
  <w:style w:type="character" w:customStyle="1" w:styleId="ListLabel19">
    <w:name w:val="ListLabel 19"/>
    <w:rPr>
      <w:rFonts w:eastAsia="Noto Sans Symbols" w:cs="Noto Sans Symbols"/>
    </w:rPr>
  </w:style>
  <w:style w:type="character" w:customStyle="1" w:styleId="ListLabel20">
    <w:name w:val="ListLabel 20"/>
    <w:rPr>
      <w:rFonts w:ascii="Times New Roman" w:eastAsia="Times New Roman" w:hAnsi="Times New Roman" w:cs="Times New Roman"/>
      <w:color w:val="000000"/>
      <w:sz w:val="20"/>
    </w:rPr>
  </w:style>
  <w:style w:type="character" w:customStyle="1" w:styleId="ListLabel21">
    <w:name w:val="ListLabel 21"/>
    <w:rPr>
      <w:rFonts w:ascii="Times New Roman" w:eastAsia="Noto Sans Symbols" w:hAnsi="Times New Roman" w:cs="Noto Sans Symbols"/>
      <w:sz w:val="20"/>
    </w:rPr>
  </w:style>
  <w:style w:type="character" w:customStyle="1" w:styleId="ListLabel22">
    <w:name w:val="ListLabel 22"/>
    <w:rPr>
      <w:rFonts w:eastAsia="Courier New" w:cs="Courier New"/>
    </w:rPr>
  </w:style>
  <w:style w:type="character" w:customStyle="1" w:styleId="ListLabel23">
    <w:name w:val="ListLabel 23"/>
    <w:rPr>
      <w:rFonts w:eastAsia="Noto Sans Symbols" w:cs="Noto Sans Symbols"/>
    </w:rPr>
  </w:style>
  <w:style w:type="character" w:customStyle="1" w:styleId="ListLabel24">
    <w:name w:val="ListLabel 24"/>
    <w:rPr>
      <w:rFonts w:eastAsia="Noto Sans Symbols" w:cs="Noto Sans Symbols"/>
    </w:rPr>
  </w:style>
  <w:style w:type="character" w:customStyle="1" w:styleId="ListLabel25">
    <w:name w:val="ListLabel 25"/>
    <w:rPr>
      <w:rFonts w:eastAsia="Courier New" w:cs="Courier New"/>
    </w:rPr>
  </w:style>
  <w:style w:type="character" w:customStyle="1" w:styleId="ListLabel26">
    <w:name w:val="ListLabel 26"/>
    <w:rPr>
      <w:rFonts w:eastAsia="Noto Sans Symbols" w:cs="Noto Sans Symbols"/>
    </w:rPr>
  </w:style>
  <w:style w:type="character" w:customStyle="1" w:styleId="ListLabel27">
    <w:name w:val="ListLabel 27"/>
    <w:rPr>
      <w:rFonts w:eastAsia="Noto Sans Symbols" w:cs="Noto Sans Symbols"/>
    </w:rPr>
  </w:style>
  <w:style w:type="character" w:customStyle="1" w:styleId="ListLabel28">
    <w:name w:val="ListLabel 28"/>
    <w:rPr>
      <w:rFonts w:eastAsia="Courier New" w:cs="Courier New"/>
    </w:rPr>
  </w:style>
  <w:style w:type="character" w:customStyle="1" w:styleId="ListLabel29">
    <w:name w:val="ListLabel 29"/>
    <w:rPr>
      <w:rFonts w:eastAsia="Noto Sans Symbols" w:cs="Noto Sans Symbols"/>
    </w:rPr>
  </w:style>
  <w:style w:type="character" w:customStyle="1" w:styleId="ListLabel30">
    <w:name w:val="ListLabel 30"/>
    <w:rPr>
      <w:rFonts w:ascii="Century Gothic" w:eastAsia="Noto Sans Symbols" w:hAnsi="Century Gothic" w:cs="Noto Sans Symbols"/>
      <w:sz w:val="20"/>
    </w:rPr>
  </w:style>
  <w:style w:type="character" w:customStyle="1" w:styleId="ListLabel31">
    <w:name w:val="ListLabel 31"/>
    <w:rPr>
      <w:rFonts w:eastAsia="Noto Sans Symbols" w:cs="Noto Sans Symbols"/>
    </w:rPr>
  </w:style>
  <w:style w:type="character" w:customStyle="1" w:styleId="ListLabel32">
    <w:name w:val="ListLabel 32"/>
    <w:rPr>
      <w:rFonts w:eastAsia="Noto Sans Symbols" w:cs="Noto Sans Symbols"/>
    </w:rPr>
  </w:style>
  <w:style w:type="character" w:customStyle="1" w:styleId="ListLabel33">
    <w:name w:val="ListLabel 33"/>
    <w:rPr>
      <w:rFonts w:eastAsia="Noto Sans Symbols" w:cs="Noto Sans Symbols"/>
    </w:rPr>
  </w:style>
  <w:style w:type="character" w:customStyle="1" w:styleId="ListLabel34">
    <w:name w:val="ListLabel 34"/>
    <w:rPr>
      <w:rFonts w:eastAsia="Noto Sans Symbols" w:cs="Noto Sans Symbols"/>
    </w:rPr>
  </w:style>
  <w:style w:type="character" w:customStyle="1" w:styleId="ListLabel35">
    <w:name w:val="ListLabel 35"/>
    <w:rPr>
      <w:rFonts w:eastAsia="Noto Sans Symbols" w:cs="Noto Sans Symbols"/>
    </w:rPr>
  </w:style>
  <w:style w:type="character" w:customStyle="1" w:styleId="ListLabel36">
    <w:name w:val="ListLabel 36"/>
    <w:rPr>
      <w:rFonts w:eastAsia="Noto Sans Symbols" w:cs="Noto Sans Symbols"/>
    </w:rPr>
  </w:style>
  <w:style w:type="character" w:customStyle="1" w:styleId="ListLabel37">
    <w:name w:val="ListLabel 37"/>
    <w:rPr>
      <w:rFonts w:eastAsia="Noto Sans Symbols" w:cs="Noto Sans Symbols"/>
    </w:rPr>
  </w:style>
  <w:style w:type="character" w:customStyle="1" w:styleId="ListLabel38">
    <w:name w:val="ListLabel 38"/>
    <w:rPr>
      <w:rFonts w:eastAsia="Noto Sans Symbols" w:cs="Noto Sans Symbols"/>
    </w:rPr>
  </w:style>
  <w:style w:type="character" w:customStyle="1" w:styleId="ListLabel39">
    <w:name w:val="ListLabel 39"/>
    <w:rPr>
      <w:rFonts w:ascii="Times New Roman" w:eastAsia="Noto Sans Symbols" w:hAnsi="Times New Roman" w:cs="Noto Sans Symbols"/>
      <w:sz w:val="20"/>
    </w:rPr>
  </w:style>
  <w:style w:type="character" w:customStyle="1" w:styleId="ListLabel40">
    <w:name w:val="ListLabel 40"/>
    <w:rPr>
      <w:rFonts w:eastAsia="Courier New" w:cs="Courier New"/>
    </w:rPr>
  </w:style>
  <w:style w:type="character" w:customStyle="1" w:styleId="ListLabel41">
    <w:name w:val="ListLabel 41"/>
    <w:rPr>
      <w:rFonts w:eastAsia="Noto Sans Symbols" w:cs="Noto Sans Symbols"/>
    </w:rPr>
  </w:style>
  <w:style w:type="character" w:customStyle="1" w:styleId="ListLabel42">
    <w:name w:val="ListLabel 42"/>
    <w:rPr>
      <w:rFonts w:eastAsia="Noto Sans Symbols" w:cs="Noto Sans Symbols"/>
    </w:rPr>
  </w:style>
  <w:style w:type="character" w:customStyle="1" w:styleId="ListLabel43">
    <w:name w:val="ListLabel 43"/>
    <w:rPr>
      <w:rFonts w:eastAsia="Courier New" w:cs="Courier New"/>
    </w:rPr>
  </w:style>
  <w:style w:type="character" w:customStyle="1" w:styleId="ListLabel44">
    <w:name w:val="ListLabel 44"/>
    <w:rPr>
      <w:rFonts w:eastAsia="Noto Sans Symbols" w:cs="Noto Sans Symbols"/>
    </w:rPr>
  </w:style>
  <w:style w:type="character" w:customStyle="1" w:styleId="ListLabel45">
    <w:name w:val="ListLabel 45"/>
    <w:rPr>
      <w:rFonts w:eastAsia="Noto Sans Symbols" w:cs="Noto Sans Symbols"/>
    </w:rPr>
  </w:style>
  <w:style w:type="character" w:customStyle="1" w:styleId="ListLabel46">
    <w:name w:val="ListLabel 46"/>
    <w:rPr>
      <w:rFonts w:eastAsia="Courier New" w:cs="Courier New"/>
    </w:rPr>
  </w:style>
  <w:style w:type="character" w:customStyle="1" w:styleId="ListLabel47">
    <w:name w:val="ListLabel 47"/>
    <w:rPr>
      <w:rFonts w:eastAsia="Noto Sans Symbols" w:cs="Noto Sans Symbols"/>
    </w:rPr>
  </w:style>
  <w:style w:type="character" w:customStyle="1" w:styleId="ListLabel48">
    <w:name w:val="ListLabel 48"/>
    <w:rPr>
      <w:rFonts w:ascii="Times New Roman" w:eastAsia="Noto Sans Symbols" w:hAnsi="Times New Roman" w:cs="Noto Sans Symbols"/>
      <w:sz w:val="20"/>
    </w:rPr>
  </w:style>
  <w:style w:type="character" w:customStyle="1" w:styleId="ListLabel49">
    <w:name w:val="ListLabel 49"/>
    <w:rPr>
      <w:rFonts w:eastAsia="Courier New" w:cs="Courier New"/>
    </w:rPr>
  </w:style>
  <w:style w:type="character" w:customStyle="1" w:styleId="ListLabel50">
    <w:name w:val="ListLabel 50"/>
    <w:rPr>
      <w:rFonts w:eastAsia="Noto Sans Symbols" w:cs="Noto Sans Symbols"/>
    </w:rPr>
  </w:style>
  <w:style w:type="character" w:customStyle="1" w:styleId="ListLabel51">
    <w:name w:val="ListLabel 51"/>
    <w:rPr>
      <w:rFonts w:eastAsia="Noto Sans Symbols" w:cs="Noto Sans Symbols"/>
    </w:rPr>
  </w:style>
  <w:style w:type="character" w:customStyle="1" w:styleId="ListLabel52">
    <w:name w:val="ListLabel 52"/>
    <w:rPr>
      <w:rFonts w:eastAsia="Courier New" w:cs="Courier New"/>
    </w:rPr>
  </w:style>
  <w:style w:type="character" w:customStyle="1" w:styleId="ListLabel53">
    <w:name w:val="ListLabel 53"/>
    <w:rPr>
      <w:rFonts w:eastAsia="Noto Sans Symbols" w:cs="Noto Sans Symbols"/>
    </w:rPr>
  </w:style>
  <w:style w:type="character" w:customStyle="1" w:styleId="ListLabel54">
    <w:name w:val="ListLabel 54"/>
    <w:rPr>
      <w:rFonts w:eastAsia="Noto Sans Symbols" w:cs="Noto Sans Symbols"/>
    </w:rPr>
  </w:style>
  <w:style w:type="character" w:customStyle="1" w:styleId="ListLabel55">
    <w:name w:val="ListLabel 55"/>
    <w:rPr>
      <w:rFonts w:eastAsia="Courier New" w:cs="Courier New"/>
    </w:rPr>
  </w:style>
  <w:style w:type="character" w:customStyle="1" w:styleId="ListLabel56">
    <w:name w:val="ListLabel 56"/>
    <w:rPr>
      <w:rFonts w:eastAsia="Noto Sans Symbols" w:cs="Noto Sans Symbols"/>
    </w:rPr>
  </w:style>
  <w:style w:type="character" w:customStyle="1" w:styleId="ListLabel57">
    <w:name w:val="ListLabel 57"/>
    <w:rPr>
      <w:rFonts w:ascii="Times New Roman" w:eastAsia="Times New Roman" w:hAnsi="Times New Roman" w:cs="Times New Roman"/>
      <w:b w:val="0"/>
      <w:bCs w:val="0"/>
      <w:i w:val="0"/>
      <w:iCs w:val="0"/>
      <w:color w:val="000000"/>
      <w:sz w:val="20"/>
      <w:szCs w:val="20"/>
    </w:rPr>
  </w:style>
  <w:style w:type="character" w:customStyle="1" w:styleId="ListLabel58">
    <w:name w:val="ListLabel 58"/>
    <w:rPr>
      <w:rFonts w:ascii="Times New Roman" w:eastAsia="Times New Roman" w:hAnsi="Times New Roman" w:cs="Times New Roman"/>
      <w:b w:val="0"/>
      <w:bCs w:val="0"/>
      <w:i w:val="0"/>
      <w:iCs w:val="0"/>
      <w:color w:val="000000"/>
      <w:sz w:val="20"/>
      <w:szCs w:val="20"/>
    </w:rPr>
  </w:style>
  <w:style w:type="numbering" w:customStyle="1" w:styleId="Bezlisty1">
    <w:name w:val="Bez listy1"/>
    <w:basedOn w:val="Bezlisty"/>
  </w:style>
  <w:style w:type="numbering" w:customStyle="1" w:styleId="Bezlisty10">
    <w:name w:val="Bez listy1"/>
    <w:basedOn w:val="Bezlisty"/>
  </w:style>
  <w:style w:type="numbering" w:customStyle="1" w:styleId="Styl1">
    <w:name w:val="Styl1"/>
    <w:basedOn w:val="Bezlisty"/>
  </w:style>
  <w:style w:type="numbering" w:customStyle="1" w:styleId="WWNum1">
    <w:name w:val="WWNum1"/>
    <w:basedOn w:val="Bezlisty"/>
  </w:style>
  <w:style w:type="numbering" w:customStyle="1" w:styleId="WWNum2">
    <w:name w:val="WWNum2"/>
    <w:basedOn w:val="Bezlisty"/>
  </w:style>
  <w:style w:type="numbering" w:customStyle="1" w:styleId="WWNum3">
    <w:name w:val="WWNum3"/>
    <w:basedOn w:val="Bezlisty"/>
  </w:style>
  <w:style w:type="numbering" w:customStyle="1" w:styleId="WWNum4">
    <w:name w:val="WWNum4"/>
    <w:basedOn w:val="Bezlisty"/>
  </w:style>
  <w:style w:type="numbering" w:customStyle="1" w:styleId="WWNum5">
    <w:name w:val="WWNum5"/>
    <w:basedOn w:val="Bezlisty"/>
  </w:style>
  <w:style w:type="numbering" w:customStyle="1" w:styleId="WWNum6">
    <w:name w:val="WWNum6"/>
    <w:basedOn w:val="Bezlisty"/>
  </w:style>
  <w:style w:type="numbering" w:customStyle="1" w:styleId="WWNum7">
    <w:name w:val="WWNum7"/>
    <w:basedOn w:val="Bezlisty"/>
  </w:style>
  <w:style w:type="numbering" w:customStyle="1" w:styleId="WWNum8">
    <w:name w:val="WWNum8"/>
    <w:basedOn w:val="Bezlisty"/>
  </w:style>
  <w:style w:type="numbering" w:customStyle="1" w:styleId="WWNum9">
    <w:name w:val="WWNum9"/>
    <w:basedOn w:val="Bezlisty"/>
  </w:style>
  <w:style w:type="numbering" w:customStyle="1" w:styleId="WWNum10">
    <w:name w:val="WWNum10"/>
    <w:basedOn w:val="Bezlisty"/>
  </w:style>
  <w:style w:type="numbering" w:customStyle="1" w:styleId="WWNum11">
    <w:name w:val="WWNum11"/>
    <w:basedOn w:val="Bezlisty"/>
  </w:style>
  <w:style w:type="numbering" w:customStyle="1" w:styleId="WWNum12">
    <w:name w:val="WWNum12"/>
    <w:basedOn w:val="Bezlisty"/>
  </w:style>
  <w:style w:type="numbering" w:customStyle="1" w:styleId="WWNum13">
    <w:name w:val="WWNum13"/>
    <w:basedOn w:val="Bezlisty"/>
  </w:style>
  <w:style w:type="numbering" w:customStyle="1" w:styleId="WWNum14">
    <w:name w:val="WWNum14"/>
    <w:basedOn w:val="Bezlisty"/>
  </w:style>
  <w:style w:type="numbering" w:customStyle="1" w:styleId="WWNum15">
    <w:name w:val="WWNum15"/>
    <w:basedOn w:val="Bezlisty"/>
  </w:style>
  <w:style w:type="numbering" w:customStyle="1" w:styleId="WWNum16">
    <w:name w:val="WWNum16"/>
    <w:basedOn w:val="Bezlisty"/>
  </w:style>
  <w:style w:type="numbering" w:customStyle="1" w:styleId="WWNum17">
    <w:name w:val="WWNum17"/>
    <w:basedOn w:val="Bezlisty"/>
  </w:style>
  <w:style w:type="numbering" w:customStyle="1" w:styleId="WWNum18">
    <w:name w:val="WWNum18"/>
    <w:basedOn w:val="Bezlisty"/>
  </w:style>
  <w:style w:type="numbering" w:customStyle="1" w:styleId="WWNum19">
    <w:name w:val="WWNum19"/>
    <w:basedOn w:val="Bezlisty"/>
  </w:style>
  <w:style w:type="numbering" w:customStyle="1" w:styleId="WWNum20">
    <w:name w:val="WWNum20"/>
    <w:basedOn w:val="Bezlisty"/>
  </w:style>
  <w:style w:type="numbering" w:customStyle="1" w:styleId="WWNum21">
    <w:name w:val="WWNum21"/>
    <w:basedOn w:val="Bezlisty"/>
  </w:style>
  <w:style w:type="numbering" w:customStyle="1" w:styleId="WWNum22">
    <w:name w:val="WWNum22"/>
    <w:basedOn w:val="Bezlisty"/>
  </w:style>
  <w:style w:type="paragraph" w:styleId="Podtytu">
    <w:name w:val="Subtitle"/>
    <w:basedOn w:val="Normalny"/>
    <w:next w:val="Normalny"/>
    <w:uiPriority w:val="11"/>
    <w:qFormat/>
    <w:rPr>
      <w:rFonts w:ascii="Times New Roman" w:eastAsia="Times New Roman" w:hAnsi="Times New Roman" w:cs="Times New Roman"/>
      <w:sz w:val="24"/>
      <w:szCs w:val="24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ISfiSn9eicr9vu4wBRZiuv3DUw==">CgMxLjAyDmgubXY0ZXU4NWM4Y3UzMg5oLmhkc3JyNjUzNjd1MTIOaC5uYm10ZWR3eHl1d3cyDmguNzUwb29xdjBicHcxMg5oLmJzdHlsazcxazN2NzIOaC5zYmFiMWJvdWRpaTIyDmgueXRpMHN4Ymx3bTJxMg5oLjZrMTdzeGZlNzZqZTgAciExVXl0dEZHU1llUUcyVXU1dWV2UUQxZXFFaVdiaXhobHk=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13</Pages>
  <Words>3420</Words>
  <Characters>20525</Characters>
  <Application>Microsoft Office Word</Application>
  <DocSecurity>0</DocSecurity>
  <Lines>171</Lines>
  <Paragraphs>47</Paragraphs>
  <ScaleCrop>false</ScaleCrop>
  <Company/>
  <LinksUpToDate>false</LinksUpToDate>
  <CharactersWithSpaces>23898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Romuald Gacka</dc:creator>
  <cp:lastModifiedBy>Romuald Gacka</cp:lastModifiedBy>
  <cp:revision>9</cp:revision>
  <dcterms:created xsi:type="dcterms:W3CDTF">2026-03-27T14:42:00Z</dcterms:created>
  <dcterms:modified xsi:type="dcterms:W3CDTF">2026-03-27T14:53:00Z</dcterms:modified>
</cp:coreProperties>
</file>